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BCB" w:rsidRPr="006B27E2" w:rsidRDefault="009F0BCB" w:rsidP="006B27E2">
      <w:pPr>
        <w:pStyle w:val="Heading1"/>
      </w:pPr>
      <w:bookmarkStart w:id="0" w:name="_Toc388274365"/>
      <w:bookmarkStart w:id="1" w:name="_GoBack"/>
      <w:bookmarkEnd w:id="1"/>
      <w:r w:rsidRPr="006B27E2">
        <w:t>Training Evaluation Field Guide Supplement</w:t>
      </w:r>
      <w:bookmarkEnd w:id="0"/>
    </w:p>
    <w:p w:rsidR="009F0BCB" w:rsidRDefault="000B35BB" w:rsidP="009F0BCB">
      <w:pPr>
        <w:spacing w:after="0" w:line="240" w:lineRule="auto"/>
        <w:rPr>
          <w:rFonts w:ascii="Calibri" w:eastAsia="Times New Roman" w:hAnsi="Calibri" w:cs="Calibri"/>
          <w:i/>
          <w:sz w:val="21"/>
          <w:szCs w:val="21"/>
        </w:rPr>
      </w:pPr>
      <w:r w:rsidRPr="000B35BB">
        <w:rPr>
          <w:rFonts w:ascii="Calibri" w:eastAsia="Times New Roman" w:hAnsi="Calibri" w:cs="Calibri"/>
          <w:sz w:val="21"/>
          <w:szCs w:val="21"/>
        </w:rPr>
        <w:t xml:space="preserve">The OPM Training </w:t>
      </w:r>
      <w:r w:rsidRPr="00561A6A">
        <w:rPr>
          <w:rFonts w:ascii="Calibri" w:eastAsia="Times New Roman" w:hAnsi="Calibri" w:cs="Calibri"/>
          <w:sz w:val="21"/>
          <w:szCs w:val="21"/>
        </w:rPr>
        <w:t xml:space="preserve">Evaluation Field Guide Supplement is an abbreviated version of the </w:t>
      </w:r>
      <w:r w:rsidRPr="00561A6A">
        <w:rPr>
          <w:rFonts w:ascii="Calibri" w:eastAsia="Times New Roman" w:hAnsi="Calibri" w:cs="Calibri"/>
          <w:i/>
          <w:sz w:val="21"/>
          <w:szCs w:val="21"/>
        </w:rPr>
        <w:t>OPM Training Evaluation Field Guide</w:t>
      </w:r>
      <w:r w:rsidR="00561A6A" w:rsidRPr="00561A6A">
        <w:rPr>
          <w:rFonts w:ascii="Calibri" w:eastAsia="Times New Roman" w:hAnsi="Calibri" w:cs="Calibri"/>
          <w:i/>
          <w:sz w:val="21"/>
          <w:szCs w:val="21"/>
        </w:rPr>
        <w:t xml:space="preserve"> located at http://www.opm.gov/policy-data-oversight/training-and-development/reference-materials/training_evaluation.pdf</w:t>
      </w:r>
    </w:p>
    <w:tbl>
      <w:tblPr>
        <w:tblW w:w="1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2823"/>
        <w:gridCol w:w="2756"/>
        <w:gridCol w:w="2754"/>
        <w:gridCol w:w="2949"/>
        <w:gridCol w:w="2748"/>
        <w:gridCol w:w="1156"/>
        <w:gridCol w:w="1157"/>
        <w:gridCol w:w="1157"/>
      </w:tblGrid>
      <w:tr w:rsidR="009F0BCB" w:rsidRPr="009F0BCB" w:rsidTr="00175F72">
        <w:trPr>
          <w:trHeight w:val="498"/>
        </w:trPr>
        <w:tc>
          <w:tcPr>
            <w:tcW w:w="1892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0BCB" w:rsidRPr="00561A6A" w:rsidRDefault="009F0BCB" w:rsidP="009F0B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36"/>
                <w:szCs w:val="36"/>
              </w:rPr>
            </w:pPr>
            <w:r w:rsidRPr="00561A6A">
              <w:rPr>
                <w:rFonts w:ascii="Calibri" w:eastAsia="Calibri" w:hAnsi="Calibri" w:cs="Times New Roman"/>
                <w:sz w:val="36"/>
                <w:szCs w:val="36"/>
              </w:rPr>
              <w:t xml:space="preserve">Federal </w:t>
            </w:r>
            <w:r w:rsidR="0079481B">
              <w:rPr>
                <w:rFonts w:ascii="Calibri" w:eastAsia="Calibri" w:hAnsi="Calibri" w:cs="Times New Roman"/>
                <w:sz w:val="36"/>
                <w:szCs w:val="36"/>
              </w:rPr>
              <w:t xml:space="preserve">Supervisory and </w:t>
            </w:r>
            <w:r w:rsidRPr="00561A6A">
              <w:rPr>
                <w:rFonts w:ascii="Calibri" w:eastAsia="Calibri" w:hAnsi="Calibri" w:cs="Times New Roman"/>
                <w:sz w:val="36"/>
                <w:szCs w:val="36"/>
              </w:rPr>
              <w:t>Managerial Training Evaluation:</w:t>
            </w:r>
          </w:p>
          <w:p w:rsidR="009F0BCB" w:rsidRPr="009F0BCB" w:rsidRDefault="009F0BCB" w:rsidP="009F0BC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72"/>
                <w:szCs w:val="72"/>
              </w:rPr>
            </w:pPr>
            <w:r w:rsidRPr="00561A6A">
              <w:rPr>
                <w:rFonts w:ascii="Calibri" w:eastAsia="Calibri" w:hAnsi="Calibri" w:cs="Times New Roman"/>
                <w:sz w:val="36"/>
                <w:szCs w:val="36"/>
              </w:rPr>
              <w:t>Demonstrating the Value of Training at Every Level</w:t>
            </w:r>
          </w:p>
        </w:tc>
      </w:tr>
      <w:tr w:rsidR="009F0BCB" w:rsidRPr="009F0BCB" w:rsidTr="00175F72">
        <w:tc>
          <w:tcPr>
            <w:tcW w:w="1426" w:type="dxa"/>
            <w:vMerge w:val="restart"/>
            <w:shd w:val="clear" w:color="auto" w:fill="auto"/>
            <w:textDirection w:val="btLr"/>
          </w:tcPr>
          <w:p w:rsidR="009F0BCB" w:rsidRPr="009F0BCB" w:rsidRDefault="009F0BCB" w:rsidP="009F0BCB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 w:rsidRPr="009F0BCB">
              <w:rPr>
                <w:rFonts w:ascii="Calibri" w:eastAsia="Calibri" w:hAnsi="Calibri" w:cs="Times New Roman"/>
                <w:b/>
                <w:sz w:val="72"/>
                <w:szCs w:val="72"/>
              </w:rPr>
              <w:t>Planning Stage</w:t>
            </w:r>
          </w:p>
        </w:tc>
        <w:tc>
          <w:tcPr>
            <w:tcW w:w="2823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11</w:t>
            </w:r>
          </w:p>
        </w:tc>
        <w:tc>
          <w:tcPr>
            <w:tcW w:w="2756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13</w:t>
            </w:r>
          </w:p>
        </w:tc>
        <w:tc>
          <w:tcPr>
            <w:tcW w:w="2754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15</w:t>
            </w:r>
          </w:p>
        </w:tc>
        <w:tc>
          <w:tcPr>
            <w:tcW w:w="2949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17</w:t>
            </w:r>
          </w:p>
        </w:tc>
        <w:tc>
          <w:tcPr>
            <w:tcW w:w="2748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20</w:t>
            </w:r>
          </w:p>
        </w:tc>
        <w:tc>
          <w:tcPr>
            <w:tcW w:w="3470" w:type="dxa"/>
            <w:gridSpan w:val="3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22</w:t>
            </w:r>
          </w:p>
        </w:tc>
      </w:tr>
      <w:tr w:rsidR="009F0BCB" w:rsidRPr="009F0BCB" w:rsidTr="00175F72">
        <w:tc>
          <w:tcPr>
            <w:tcW w:w="142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1:  Address Stakeholder Issues</w:t>
            </w:r>
          </w:p>
        </w:tc>
        <w:tc>
          <w:tcPr>
            <w:tcW w:w="2756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2:  Refine Expectations to Define Results</w:t>
            </w:r>
          </w:p>
        </w:tc>
        <w:tc>
          <w:tcPr>
            <w:tcW w:w="2754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3:  Determine Critical Behaviors</w:t>
            </w:r>
          </w:p>
        </w:tc>
        <w:tc>
          <w:tcPr>
            <w:tcW w:w="2949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4:  Determine Required Drivers</w:t>
            </w:r>
          </w:p>
        </w:tc>
        <w:tc>
          <w:tcPr>
            <w:tcW w:w="2748" w:type="dxa"/>
          </w:tcPr>
          <w:p w:rsidR="009F0BCB" w:rsidRPr="009F0BCB" w:rsidRDefault="009F0BCB" w:rsidP="00F96D35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5:  Identify Lea</w:t>
            </w:r>
            <w:r w:rsidR="00F96D35"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ding </w:t>
            </w: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Indicators</w:t>
            </w:r>
          </w:p>
        </w:tc>
        <w:tc>
          <w:tcPr>
            <w:tcW w:w="3470" w:type="dxa"/>
            <w:gridSpan w:val="3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6:  Address Necessities for Success</w:t>
            </w:r>
          </w:p>
        </w:tc>
      </w:tr>
      <w:tr w:rsidR="009F0BCB" w:rsidRPr="009F0BCB" w:rsidTr="00175F72">
        <w:tc>
          <w:tcPr>
            <w:tcW w:w="142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3" w:type="dxa"/>
            <w:shd w:val="clear" w:color="auto" w:fill="FABF8F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Inputs</w:t>
            </w:r>
          </w:p>
        </w:tc>
        <w:tc>
          <w:tcPr>
            <w:tcW w:w="2756" w:type="dxa"/>
            <w:shd w:val="clear" w:color="auto" w:fill="D99594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2754" w:type="dxa"/>
            <w:shd w:val="clear" w:color="auto" w:fill="D99594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2949" w:type="dxa"/>
            <w:shd w:val="clear" w:color="auto" w:fill="D99594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2748" w:type="dxa"/>
            <w:shd w:val="clear" w:color="auto" w:fill="D99594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1156" w:type="dxa"/>
            <w:shd w:val="clear" w:color="auto" w:fill="FABF8F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Inputs</w:t>
            </w:r>
          </w:p>
        </w:tc>
        <w:tc>
          <w:tcPr>
            <w:tcW w:w="1157" w:type="dxa"/>
            <w:shd w:val="clear" w:color="auto" w:fill="D99594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1157" w:type="dxa"/>
            <w:shd w:val="clear" w:color="auto" w:fill="B8CCE4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Baseline</w:t>
            </w:r>
          </w:p>
        </w:tc>
      </w:tr>
      <w:tr w:rsidR="009F0BCB" w:rsidRPr="009F0BCB" w:rsidTr="00175F72">
        <w:tc>
          <w:tcPr>
            <w:tcW w:w="142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Understand and identify the business/organizational need—be the consultant and ask questions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:rsidR="009F0BCB" w:rsidRPr="009F0BCB" w:rsidRDefault="009F0BCB" w:rsidP="00AF361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Determine the </w:t>
            </w:r>
            <w:r w:rsidR="008F19BC">
              <w:rPr>
                <w:rFonts w:ascii="Calibri" w:eastAsia="Calibri" w:hAnsi="Calibri" w:cs="Times New Roman"/>
                <w:sz w:val="20"/>
                <w:szCs w:val="20"/>
              </w:rPr>
              <w:t xml:space="preserve">desired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result</w:t>
            </w:r>
            <w:r w:rsidR="00AF361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of the initiative (what </w:t>
            </w:r>
            <w:r w:rsidR="00AF361B">
              <w:rPr>
                <w:rFonts w:ascii="Calibri" w:eastAsia="Calibri" w:hAnsi="Calibri" w:cs="Times New Roman"/>
                <w:sz w:val="20"/>
                <w:szCs w:val="20"/>
              </w:rPr>
              <w:t xml:space="preserve">does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success look like so you </w:t>
            </w:r>
            <w:r w:rsidR="00AF361B">
              <w:rPr>
                <w:rFonts w:ascii="Calibri" w:eastAsia="Calibri" w:hAnsi="Calibri" w:cs="Times New Roman"/>
                <w:sz w:val="20"/>
                <w:szCs w:val="20"/>
              </w:rPr>
              <w:t xml:space="preserve">achieve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what</w:t>
            </w:r>
            <w:r w:rsidR="00AF361B">
              <w:rPr>
                <w:rFonts w:ascii="Calibri" w:eastAsia="Calibri" w:hAnsi="Calibri" w:cs="Times New Roman"/>
                <w:sz w:val="20"/>
                <w:szCs w:val="20"/>
              </w:rPr>
              <w:t xml:space="preserve"> outcome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?)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754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Determine a manageable number of observable critical behaviors that lead to on-the-job success and targeted results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:rsidR="001A4F4C" w:rsidRPr="009F0BCB" w:rsidRDefault="001A4F4C" w:rsidP="001A4F4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A4F4C">
              <w:rPr>
                <w:rFonts w:ascii="Calibri" w:eastAsia="Calibri" w:hAnsi="Calibri" w:cs="Times New Roman"/>
                <w:sz w:val="20"/>
                <w:szCs w:val="20"/>
              </w:rPr>
              <w:t>Determine if formal training is needed by considering if knowledge,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skills or the right attitudes are</w:t>
            </w:r>
            <w:r w:rsidRPr="001A4F4C">
              <w:rPr>
                <w:rFonts w:ascii="Calibri" w:eastAsia="Calibri" w:hAnsi="Calibri" w:cs="Times New Roman"/>
                <w:sz w:val="20"/>
                <w:szCs w:val="20"/>
              </w:rPr>
              <w:t xml:space="preserve"> lacking. If not, drivers alone can support the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identified </w:t>
            </w:r>
            <w:r w:rsidRPr="001A4F4C">
              <w:rPr>
                <w:rFonts w:ascii="Calibri" w:eastAsia="Calibri" w:hAnsi="Calibri" w:cs="Times New Roman"/>
                <w:sz w:val="20"/>
                <w:szCs w:val="20"/>
              </w:rPr>
              <w:t>critical behaviors and training is not needed.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748" w:type="dxa"/>
          </w:tcPr>
          <w:p w:rsidR="009F0BCB" w:rsidRPr="009F0BCB" w:rsidRDefault="009F0BCB" w:rsidP="00D427C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Determine immediate outcome(s) for each critical behavior—</w:t>
            </w:r>
            <w:r w:rsidR="00EA1CEC">
              <w:rPr>
                <w:rFonts w:ascii="Calibri" w:eastAsia="Calibri" w:hAnsi="Calibri" w:cs="Times New Roman"/>
                <w:sz w:val="20"/>
                <w:szCs w:val="20"/>
              </w:rPr>
              <w:t>describing</w:t>
            </w:r>
            <w:r w:rsidR="00D427CE">
              <w:rPr>
                <w:rFonts w:ascii="Calibri" w:eastAsia="Calibri" w:hAnsi="Calibri" w:cs="Times New Roman"/>
                <w:sz w:val="20"/>
                <w:szCs w:val="20"/>
              </w:rPr>
              <w:t xml:space="preserve"> how</w:t>
            </w:r>
            <w:r w:rsidR="00EA1CE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D427CE">
              <w:rPr>
                <w:rFonts w:ascii="Calibri" w:eastAsia="Calibri" w:hAnsi="Calibri" w:cs="Times New Roman"/>
                <w:sz w:val="20"/>
                <w:szCs w:val="20"/>
              </w:rPr>
              <w:t xml:space="preserve">those being trained would </w:t>
            </w:r>
            <w:r w:rsidR="00F96D35">
              <w:rPr>
                <w:rFonts w:ascii="Calibri" w:eastAsia="Calibri" w:hAnsi="Calibri" w:cs="Times New Roman"/>
                <w:sz w:val="20"/>
                <w:szCs w:val="20"/>
              </w:rPr>
              <w:t>specifically apply</w:t>
            </w:r>
            <w:r w:rsidR="00D427CE">
              <w:rPr>
                <w:rFonts w:ascii="Calibri" w:eastAsia="Calibri" w:hAnsi="Calibri" w:cs="Times New Roman"/>
                <w:sz w:val="20"/>
                <w:szCs w:val="20"/>
              </w:rPr>
              <w:t xml:space="preserve"> the critical behavior to </w:t>
            </w:r>
            <w:r w:rsidR="00EA1CEC">
              <w:rPr>
                <w:rFonts w:ascii="Calibri" w:eastAsia="Calibri" w:hAnsi="Calibri" w:cs="Times New Roman"/>
                <w:sz w:val="20"/>
                <w:szCs w:val="20"/>
              </w:rPr>
              <w:t xml:space="preserve">successfully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perform</w:t>
            </w:r>
            <w:r w:rsidR="00D427CE">
              <w:rPr>
                <w:rFonts w:ascii="Calibri" w:eastAsia="Calibri" w:hAnsi="Calibri" w:cs="Times New Roman"/>
                <w:sz w:val="20"/>
                <w:szCs w:val="20"/>
              </w:rPr>
              <w:t xml:space="preserve"> their actual jobs</w:t>
            </w:r>
            <w:r w:rsidR="00F96D35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470" w:type="dxa"/>
            <w:gridSpan w:val="3"/>
          </w:tcPr>
          <w:p w:rsidR="009F0BCB" w:rsidRPr="009F0BCB" w:rsidRDefault="009F0BCB" w:rsidP="0056292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Reconvene stakeholders and review the </w:t>
            </w:r>
            <w:r w:rsidR="00562927">
              <w:rPr>
                <w:rFonts w:ascii="Calibri" w:eastAsia="Calibri" w:hAnsi="Calibri" w:cs="Times New Roman"/>
                <w:sz w:val="20"/>
                <w:szCs w:val="20"/>
              </w:rPr>
              <w:t xml:space="preserve">training </w:t>
            </w:r>
            <w:r w:rsidR="000D2A11">
              <w:rPr>
                <w:rFonts w:ascii="Calibri" w:eastAsia="Calibri" w:hAnsi="Calibri" w:cs="Times New Roman"/>
                <w:sz w:val="20"/>
                <w:szCs w:val="20"/>
              </w:rPr>
              <w:t xml:space="preserve">initiative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plan.  Discuss, negotiate </w:t>
            </w:r>
            <w:r w:rsidR="00562927" w:rsidRPr="009F0BCB">
              <w:rPr>
                <w:rFonts w:ascii="Calibri" w:eastAsia="Calibri" w:hAnsi="Calibri" w:cs="Times New Roman"/>
                <w:sz w:val="20"/>
                <w:szCs w:val="20"/>
              </w:rPr>
              <w:t>and</w:t>
            </w:r>
            <w:r w:rsidR="00562927">
              <w:rPr>
                <w:rFonts w:ascii="Calibri" w:eastAsia="Calibri" w:hAnsi="Calibri" w:cs="Times New Roman"/>
                <w:sz w:val="20"/>
                <w:szCs w:val="20"/>
              </w:rPr>
              <w:t xml:space="preserve"> build consensus to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obtain approval.</w:t>
            </w:r>
          </w:p>
        </w:tc>
      </w:tr>
      <w:tr w:rsidR="009F0BCB" w:rsidRPr="009F0BCB" w:rsidTr="00C1742D">
        <w:trPr>
          <w:trHeight w:val="1763"/>
        </w:trPr>
        <w:tc>
          <w:tcPr>
            <w:tcW w:w="142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9F0BCB" w:rsidRPr="009F0BCB" w:rsidRDefault="009F0BCB" w:rsidP="008F19B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Determine key stakeholders for the initiative—the critical group whose opinions will be most critical to the success of the initiative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Determine how the result</w:t>
            </w:r>
            <w:r w:rsidR="00AF361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will be measured or quantified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754" w:type="dxa"/>
          </w:tcPr>
          <w:p w:rsidR="009F0BCB" w:rsidRPr="009F0BCB" w:rsidRDefault="009F0BCB" w:rsidP="00E16C7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Ensure </w:t>
            </w:r>
            <w:r w:rsidR="00E16C7F">
              <w:rPr>
                <w:rFonts w:ascii="Calibri" w:eastAsia="Calibri" w:hAnsi="Calibri" w:cs="Times New Roman"/>
                <w:sz w:val="20"/>
                <w:szCs w:val="20"/>
              </w:rPr>
              <w:t xml:space="preserve">identified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critical </w:t>
            </w:r>
            <w:r w:rsidR="00E16C7F">
              <w:rPr>
                <w:rFonts w:ascii="Calibri" w:eastAsia="Calibri" w:hAnsi="Calibri" w:cs="Times New Roman"/>
                <w:sz w:val="20"/>
                <w:szCs w:val="20"/>
              </w:rPr>
              <w:t>behaviors align with the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performance </w:t>
            </w:r>
            <w:r w:rsidR="00E16C7F">
              <w:rPr>
                <w:rFonts w:ascii="Calibri" w:eastAsia="Calibri" w:hAnsi="Calibri" w:cs="Times New Roman"/>
                <w:sz w:val="20"/>
                <w:szCs w:val="20"/>
              </w:rPr>
              <w:t xml:space="preserve">requirements to which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those being trained</w:t>
            </w:r>
            <w:r w:rsidR="00E16C7F">
              <w:rPr>
                <w:rFonts w:ascii="Calibri" w:eastAsia="Calibri" w:hAnsi="Calibri" w:cs="Times New Roman"/>
                <w:sz w:val="20"/>
                <w:szCs w:val="20"/>
              </w:rPr>
              <w:t xml:space="preserve"> are held accountable in their jobs</w:t>
            </w:r>
          </w:p>
        </w:tc>
        <w:tc>
          <w:tcPr>
            <w:tcW w:w="2949" w:type="dxa"/>
          </w:tcPr>
          <w:p w:rsidR="009F0BCB" w:rsidRPr="009F0BCB" w:rsidRDefault="009F0BCB" w:rsidP="00F96D3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Determine </w:t>
            </w:r>
            <w:r w:rsidR="00F96D35">
              <w:rPr>
                <w:rFonts w:ascii="Calibri" w:eastAsia="Calibri" w:hAnsi="Calibri" w:cs="Times New Roman"/>
                <w:sz w:val="20"/>
                <w:szCs w:val="20"/>
              </w:rPr>
              <w:t xml:space="preserve">the required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types of support and accountability </w:t>
            </w:r>
            <w:r w:rsidR="00F96D35">
              <w:rPr>
                <w:rFonts w:ascii="Calibri" w:eastAsia="Calibri" w:hAnsi="Calibri" w:cs="Times New Roman"/>
                <w:sz w:val="20"/>
                <w:szCs w:val="20"/>
              </w:rPr>
              <w:t xml:space="preserve">drivers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that will best ensure performance of </w:t>
            </w:r>
            <w:r w:rsidR="001A4F4C">
              <w:rPr>
                <w:rFonts w:ascii="Calibri" w:eastAsia="Calibri" w:hAnsi="Calibri" w:cs="Times New Roman"/>
                <w:sz w:val="20"/>
                <w:szCs w:val="20"/>
              </w:rPr>
              <w:t xml:space="preserve">identified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critical behaviors on the job.  Gain support for the execution of required drivers.  </w:t>
            </w:r>
          </w:p>
        </w:tc>
        <w:tc>
          <w:tcPr>
            <w:tcW w:w="2748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Ensure that </w:t>
            </w:r>
            <w:r w:rsidR="00F96D35">
              <w:rPr>
                <w:rFonts w:ascii="Calibri" w:eastAsia="Calibri" w:hAnsi="Calibri" w:cs="Times New Roman"/>
                <w:sz w:val="20"/>
                <w:szCs w:val="20"/>
              </w:rPr>
              <w:t xml:space="preserve">identified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critical behaviors, leading indicators and targeted results</w:t>
            </w:r>
            <w:r w:rsidR="00EA1CEC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directly correlate</w:t>
            </w:r>
            <w:r w:rsidR="00C1742D">
              <w:rPr>
                <w:rFonts w:ascii="Calibri" w:eastAsia="Calibri" w:hAnsi="Calibri" w:cs="Times New Roman"/>
                <w:sz w:val="20"/>
                <w:szCs w:val="20"/>
              </w:rPr>
              <w:t xml:space="preserve"> to the outcomes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470" w:type="dxa"/>
            <w:gridSpan w:val="3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Discuss organizational cultural realities that will impact participants’ ability and willingness to perform the critical behavior on the job.</w:t>
            </w:r>
          </w:p>
        </w:tc>
      </w:tr>
      <w:tr w:rsidR="009F0BCB" w:rsidRPr="009F0BCB" w:rsidTr="00175F72">
        <w:tc>
          <w:tcPr>
            <w:tcW w:w="142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Begin to identify the roles and responsibilities of training and business partners.  Determine primary and secondary responsibilit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ies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(pg. 24)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756" w:type="dxa"/>
          </w:tcPr>
          <w:p w:rsidR="009F0BCB" w:rsidRPr="009F0BCB" w:rsidRDefault="009F0BCB" w:rsidP="008F19B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Determine if the result</w:t>
            </w:r>
            <w:r w:rsidR="00AF361B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F361B">
              <w:rPr>
                <w:rFonts w:ascii="Calibri" w:eastAsia="Calibri" w:hAnsi="Calibri" w:cs="Times New Roman"/>
                <w:sz w:val="20"/>
                <w:szCs w:val="20"/>
              </w:rPr>
              <w:t>are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AF361B">
              <w:rPr>
                <w:rFonts w:ascii="Calibri" w:eastAsia="Calibri" w:hAnsi="Calibri" w:cs="Times New Roman"/>
                <w:sz w:val="20"/>
                <w:szCs w:val="20"/>
              </w:rPr>
              <w:t>attainable with available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resources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754" w:type="dxa"/>
          </w:tcPr>
          <w:p w:rsidR="009F0BCB" w:rsidRPr="009F0BCB" w:rsidRDefault="009F0BCB" w:rsidP="001A4F4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Determine the </w:t>
            </w:r>
            <w:r w:rsidR="00E16C7F">
              <w:rPr>
                <w:rFonts w:ascii="Calibri" w:eastAsia="Calibri" w:hAnsi="Calibri" w:cs="Times New Roman"/>
                <w:sz w:val="20"/>
                <w:szCs w:val="20"/>
              </w:rPr>
              <w:t xml:space="preserve">extent and the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degree</w:t>
            </w:r>
            <w:r w:rsidR="00E16C7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A4F4C">
              <w:rPr>
                <w:rFonts w:ascii="Calibri" w:eastAsia="Calibri" w:hAnsi="Calibri" w:cs="Times New Roman"/>
                <w:sz w:val="20"/>
                <w:szCs w:val="20"/>
              </w:rPr>
              <w:t>to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which </w:t>
            </w:r>
            <w:r w:rsidR="001A4F4C">
              <w:rPr>
                <w:rFonts w:ascii="Calibri" w:eastAsia="Calibri" w:hAnsi="Calibri" w:cs="Times New Roman"/>
                <w:sz w:val="20"/>
                <w:szCs w:val="20"/>
              </w:rPr>
              <w:t xml:space="preserve">identified </w:t>
            </w:r>
            <w:r w:rsidR="00AF361B" w:rsidRPr="00AF361B">
              <w:rPr>
                <w:rFonts w:ascii="Calibri" w:eastAsia="Calibri" w:hAnsi="Calibri" w:cs="Times New Roman"/>
                <w:sz w:val="20"/>
                <w:szCs w:val="20"/>
              </w:rPr>
              <w:t xml:space="preserve">critical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behaviors are currently being practiced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:rsidR="009F0BCB" w:rsidRPr="009F0BCB" w:rsidRDefault="009F0BCB" w:rsidP="00F96D3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Focus required drivers on</w:t>
            </w:r>
            <w:r w:rsidR="00F96D35">
              <w:rPr>
                <w:rFonts w:ascii="Calibri" w:eastAsia="Calibri" w:hAnsi="Calibri" w:cs="Times New Roman"/>
                <w:sz w:val="20"/>
                <w:szCs w:val="20"/>
              </w:rPr>
              <w:t xml:space="preserve"> the most significant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critical behaviors </w:t>
            </w:r>
            <w:r w:rsidR="00F96D35" w:rsidRPr="009F0BCB">
              <w:rPr>
                <w:rFonts w:ascii="Calibri" w:eastAsia="Calibri" w:hAnsi="Calibri" w:cs="Times New Roman"/>
                <w:sz w:val="20"/>
                <w:szCs w:val="20"/>
              </w:rPr>
              <w:t>that</w:t>
            </w:r>
            <w:r w:rsidR="00F96D35">
              <w:rPr>
                <w:rFonts w:ascii="Calibri" w:eastAsia="Calibri" w:hAnsi="Calibri" w:cs="Times New Roman"/>
                <w:sz w:val="20"/>
                <w:szCs w:val="20"/>
              </w:rPr>
              <w:t xml:space="preserve"> have the greatest likelihood of successful impact on behavior and results.</w:t>
            </w:r>
          </w:p>
        </w:tc>
        <w:tc>
          <w:tcPr>
            <w:tcW w:w="2748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70" w:type="dxa"/>
            <w:gridSpan w:val="3"/>
          </w:tcPr>
          <w:p w:rsidR="009F0BCB" w:rsidRPr="009F0BCB" w:rsidRDefault="00D427CE" w:rsidP="00D427C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Identify any missing conditions (e.g.,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resources and systems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) </w:t>
            </w:r>
            <w:r w:rsidR="00562927">
              <w:rPr>
                <w:rFonts w:ascii="Calibri" w:eastAsia="Calibri" w:hAnsi="Calibri" w:cs="Times New Roman"/>
                <w:sz w:val="20"/>
                <w:szCs w:val="20"/>
              </w:rPr>
              <w:t>required to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drive critical behaviors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. 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Determine feasibility of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establish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ing these conditions</w:t>
            </w:r>
            <w:r w:rsidR="00562927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</w:tr>
      <w:tr w:rsidR="009F0BCB" w:rsidRPr="009F0BCB" w:rsidTr="00175F72">
        <w:tc>
          <w:tcPr>
            <w:tcW w:w="142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823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756" w:type="dxa"/>
          </w:tcPr>
          <w:p w:rsidR="009F0BCB" w:rsidRPr="009F0BCB" w:rsidRDefault="009F0BCB" w:rsidP="008F19BC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Identify collateral and intangible benefits that may </w:t>
            </w:r>
            <w:r w:rsidR="008F19BC">
              <w:rPr>
                <w:rFonts w:ascii="Calibri" w:eastAsia="Calibri" w:hAnsi="Calibri" w:cs="Times New Roman"/>
                <w:sz w:val="20"/>
                <w:szCs w:val="20"/>
              </w:rPr>
              <w:t xml:space="preserve">also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be </w:t>
            </w:r>
            <w:r w:rsidR="008F19BC">
              <w:rPr>
                <w:rFonts w:ascii="Calibri" w:eastAsia="Calibri" w:hAnsi="Calibri" w:cs="Times New Roman"/>
                <w:sz w:val="20"/>
                <w:szCs w:val="20"/>
              </w:rPr>
              <w:t>achieved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(e.g., increased employee engagement, reduced turnover)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754" w:type="dxa"/>
          </w:tcPr>
          <w:p w:rsidR="009F0BCB" w:rsidRPr="009F0BCB" w:rsidRDefault="001A4F4C" w:rsidP="00175F7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Identify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conditions</w:t>
            </w:r>
            <w:r w:rsidR="00175F72">
              <w:rPr>
                <w:rFonts w:ascii="Calibri" w:eastAsia="Calibri" w:hAnsi="Calibri" w:cs="Times New Roman"/>
                <w:sz w:val="20"/>
                <w:szCs w:val="20"/>
              </w:rPr>
              <w:t xml:space="preserve">, including enablers and barriers, 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>for the current level of application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of the identified critical behaviors.</w:t>
            </w:r>
          </w:p>
        </w:tc>
        <w:tc>
          <w:tcPr>
            <w:tcW w:w="2949" w:type="dxa"/>
          </w:tcPr>
          <w:p w:rsidR="009F0BCB" w:rsidRPr="009F0BCB" w:rsidRDefault="009F0BCB" w:rsidP="000D2A11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For important initiatives, select at least one driver from the four dimensions</w:t>
            </w:r>
            <w:r w:rsidR="00F96D35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reinforce, monitor, encourage and reward</w:t>
            </w:r>
            <w:r w:rsidR="00F96D35">
              <w:rPr>
                <w:rFonts w:ascii="Calibri" w:eastAsia="Calibri" w:hAnsi="Calibri" w:cs="Times New Roman"/>
                <w:sz w:val="20"/>
                <w:szCs w:val="20"/>
              </w:rPr>
              <w:t xml:space="preserve"> (pg. 17)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.  Select realistic drivers that are not contrary to a particular organizational culture.  </w:t>
            </w:r>
          </w:p>
        </w:tc>
        <w:tc>
          <w:tcPr>
            <w:tcW w:w="2748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470" w:type="dxa"/>
            <w:gridSpan w:val="3"/>
          </w:tcPr>
          <w:p w:rsidR="009F0BCB" w:rsidRPr="009F0BCB" w:rsidRDefault="009F0BCB" w:rsidP="0056292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Discuss what type of quantitative and qualitative data will be required by each group of stakeholders</w:t>
            </w:r>
            <w:r w:rsidR="00562927">
              <w:rPr>
                <w:rFonts w:ascii="Calibri" w:eastAsia="Calibri" w:hAnsi="Calibri" w:cs="Times New Roman"/>
                <w:sz w:val="20"/>
                <w:szCs w:val="20"/>
              </w:rPr>
              <w:t xml:space="preserve"> to demonstrate training impact and to include in evaluation plan.  </w:t>
            </w:r>
          </w:p>
        </w:tc>
      </w:tr>
    </w:tbl>
    <w:p w:rsidR="009F0BCB" w:rsidRPr="009F0BCB" w:rsidRDefault="009F0BCB" w:rsidP="009F0BCB">
      <w:pPr>
        <w:spacing w:after="0" w:line="240" w:lineRule="auto"/>
        <w:rPr>
          <w:rFonts w:ascii="Calibri" w:eastAsia="Times New Roman" w:hAnsi="Calibri" w:cs="Calibri"/>
          <w:sz w:val="21"/>
          <w:szCs w:val="21"/>
        </w:rPr>
      </w:pPr>
    </w:p>
    <w:p w:rsidR="009F0BCB" w:rsidRPr="009F0BCB" w:rsidRDefault="009F0BCB" w:rsidP="009F0BCB">
      <w:pPr>
        <w:rPr>
          <w:rFonts w:ascii="Calibri" w:eastAsia="Times New Roman" w:hAnsi="Calibri" w:cs="Calibri"/>
          <w:sz w:val="21"/>
          <w:szCs w:val="21"/>
        </w:rPr>
      </w:pPr>
    </w:p>
    <w:tbl>
      <w:tblPr>
        <w:tblW w:w="1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2632"/>
        <w:gridCol w:w="1118"/>
        <w:gridCol w:w="1049"/>
        <w:gridCol w:w="983"/>
        <w:gridCol w:w="810"/>
        <w:gridCol w:w="1170"/>
        <w:gridCol w:w="1035"/>
        <w:gridCol w:w="2112"/>
        <w:gridCol w:w="1117"/>
        <w:gridCol w:w="1162"/>
        <w:gridCol w:w="2181"/>
        <w:gridCol w:w="1056"/>
        <w:gridCol w:w="1057"/>
      </w:tblGrid>
      <w:tr w:rsidR="009F0BCB" w:rsidRPr="009F0BCB" w:rsidTr="000D2A11">
        <w:tc>
          <w:tcPr>
            <w:tcW w:w="1346" w:type="dxa"/>
            <w:vMerge w:val="restart"/>
            <w:shd w:val="clear" w:color="auto" w:fill="auto"/>
            <w:textDirection w:val="btLr"/>
          </w:tcPr>
          <w:p w:rsidR="009F0BCB" w:rsidRPr="009F0BCB" w:rsidRDefault="009F0BCB" w:rsidP="009F0BCB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72"/>
                <w:szCs w:val="72"/>
              </w:rPr>
              <w:lastRenderedPageBreak/>
              <w:t>Execution Stage</w:t>
            </w:r>
          </w:p>
        </w:tc>
        <w:tc>
          <w:tcPr>
            <w:tcW w:w="2632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28</w:t>
            </w:r>
          </w:p>
        </w:tc>
        <w:tc>
          <w:tcPr>
            <w:tcW w:w="3150" w:type="dxa"/>
            <w:gridSpan w:val="3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31</w:t>
            </w:r>
          </w:p>
        </w:tc>
        <w:tc>
          <w:tcPr>
            <w:tcW w:w="3015" w:type="dxa"/>
            <w:gridSpan w:val="3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47</w:t>
            </w:r>
          </w:p>
        </w:tc>
        <w:tc>
          <w:tcPr>
            <w:tcW w:w="2112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49</w:t>
            </w:r>
          </w:p>
        </w:tc>
        <w:tc>
          <w:tcPr>
            <w:tcW w:w="2279" w:type="dxa"/>
            <w:gridSpan w:val="2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50</w:t>
            </w:r>
          </w:p>
        </w:tc>
        <w:tc>
          <w:tcPr>
            <w:tcW w:w="2181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52</w:t>
            </w:r>
          </w:p>
        </w:tc>
        <w:tc>
          <w:tcPr>
            <w:tcW w:w="2113" w:type="dxa"/>
            <w:gridSpan w:val="2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53</w:t>
            </w:r>
          </w:p>
        </w:tc>
      </w:tr>
      <w:tr w:rsidR="009F0BCB" w:rsidRPr="009F0BCB" w:rsidTr="000D2A11">
        <w:tc>
          <w:tcPr>
            <w:tcW w:w="134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1:  Design and Develop Pre-training, Training Program and Drivers</w:t>
            </w:r>
          </w:p>
        </w:tc>
        <w:tc>
          <w:tcPr>
            <w:tcW w:w="3150" w:type="dxa"/>
            <w:gridSpan w:val="3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2:  Design and Develop Evaluation Tools</w:t>
            </w:r>
          </w:p>
        </w:tc>
        <w:tc>
          <w:tcPr>
            <w:tcW w:w="3015" w:type="dxa"/>
            <w:gridSpan w:val="3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3:  Build Dashboard</w:t>
            </w:r>
          </w:p>
        </w:tc>
        <w:tc>
          <w:tcPr>
            <w:tcW w:w="2112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4:  Deliver Pre-training and Training</w:t>
            </w:r>
          </w:p>
        </w:tc>
        <w:tc>
          <w:tcPr>
            <w:tcW w:w="2279" w:type="dxa"/>
            <w:gridSpan w:val="2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5:  Measure at Levels 1 and 2</w:t>
            </w:r>
          </w:p>
        </w:tc>
        <w:tc>
          <w:tcPr>
            <w:tcW w:w="2181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6:  Initiate Ongoing Reinforcement and Monitoring</w:t>
            </w:r>
          </w:p>
        </w:tc>
        <w:tc>
          <w:tcPr>
            <w:tcW w:w="2113" w:type="dxa"/>
            <w:gridSpan w:val="2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7:  Measure at Levels 3 and 4</w:t>
            </w:r>
          </w:p>
        </w:tc>
      </w:tr>
      <w:tr w:rsidR="00CD1A27" w:rsidRPr="009F0BCB" w:rsidTr="00CD1A27">
        <w:tc>
          <w:tcPr>
            <w:tcW w:w="1346" w:type="dxa"/>
            <w:vMerge/>
            <w:shd w:val="clear" w:color="auto" w:fill="auto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  <w:shd w:val="clear" w:color="auto" w:fill="FABF8F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Inputs</w:t>
            </w:r>
          </w:p>
        </w:tc>
        <w:tc>
          <w:tcPr>
            <w:tcW w:w="1118" w:type="dxa"/>
            <w:shd w:val="clear" w:color="auto" w:fill="C2D69B" w:themeFill="accent3" w:themeFillTint="99"/>
          </w:tcPr>
          <w:p w:rsidR="00CD1A27" w:rsidRPr="000D2A11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2A11">
              <w:rPr>
                <w:rFonts w:ascii="Calibri" w:eastAsia="Calibri" w:hAnsi="Calibri" w:cs="Times New Roman"/>
                <w:sz w:val="20"/>
                <w:szCs w:val="20"/>
              </w:rPr>
              <w:t>Outputs</w:t>
            </w:r>
          </w:p>
        </w:tc>
        <w:tc>
          <w:tcPr>
            <w:tcW w:w="1049" w:type="dxa"/>
            <w:shd w:val="clear" w:color="auto" w:fill="D99594"/>
          </w:tcPr>
          <w:p w:rsidR="00CD1A27" w:rsidRPr="000D2A11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2A11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983" w:type="dxa"/>
            <w:shd w:val="clear" w:color="auto" w:fill="B8CCE4"/>
          </w:tcPr>
          <w:p w:rsidR="00CD1A27" w:rsidRPr="000D2A11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D2A11">
              <w:rPr>
                <w:rFonts w:ascii="Calibri" w:eastAsia="Calibri" w:hAnsi="Calibri" w:cs="Times New Roman"/>
                <w:sz w:val="20"/>
                <w:szCs w:val="20"/>
              </w:rPr>
              <w:t>Baseline</w:t>
            </w:r>
          </w:p>
        </w:tc>
        <w:tc>
          <w:tcPr>
            <w:tcW w:w="810" w:type="dxa"/>
            <w:shd w:val="clear" w:color="auto" w:fill="FABF8F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Inputs</w:t>
            </w:r>
          </w:p>
        </w:tc>
        <w:tc>
          <w:tcPr>
            <w:tcW w:w="1170" w:type="dxa"/>
            <w:shd w:val="clear" w:color="auto" w:fill="D99594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1035" w:type="dxa"/>
            <w:shd w:val="clear" w:color="auto" w:fill="B8CCE4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Baseline</w:t>
            </w:r>
          </w:p>
        </w:tc>
        <w:tc>
          <w:tcPr>
            <w:tcW w:w="2112" w:type="dxa"/>
            <w:shd w:val="clear" w:color="auto" w:fill="C2D69B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Outputs</w:t>
            </w:r>
          </w:p>
        </w:tc>
        <w:tc>
          <w:tcPr>
            <w:tcW w:w="1117" w:type="dxa"/>
            <w:shd w:val="clear" w:color="auto" w:fill="C2D69B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Outputs</w:t>
            </w:r>
          </w:p>
        </w:tc>
        <w:tc>
          <w:tcPr>
            <w:tcW w:w="1162" w:type="dxa"/>
            <w:shd w:val="clear" w:color="auto" w:fill="D99594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2181" w:type="dxa"/>
            <w:shd w:val="clear" w:color="auto" w:fill="D99594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1056" w:type="dxa"/>
            <w:shd w:val="clear" w:color="auto" w:fill="D99594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1057" w:type="dxa"/>
            <w:shd w:val="clear" w:color="auto" w:fill="B8CCE4"/>
          </w:tcPr>
          <w:p w:rsidR="00CD1A27" w:rsidRPr="009F0BCB" w:rsidRDefault="00CD1A27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Baseline</w:t>
            </w:r>
          </w:p>
        </w:tc>
      </w:tr>
      <w:tr w:rsidR="009F0BCB" w:rsidRPr="009F0BCB" w:rsidTr="000D2A11">
        <w:tc>
          <w:tcPr>
            <w:tcW w:w="134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9F0BCB" w:rsidRPr="009F0BCB" w:rsidRDefault="009F0BCB" w:rsidP="00C8791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Design pre-training activities </w:t>
            </w:r>
            <w:r w:rsidR="00E54539">
              <w:rPr>
                <w:rFonts w:ascii="Calibri" w:eastAsia="Calibri" w:hAnsi="Calibri" w:cs="Times New Roman"/>
                <w:sz w:val="20"/>
                <w:szCs w:val="20"/>
              </w:rPr>
              <w:t xml:space="preserve">(e.g., advance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material</w:t>
            </w:r>
            <w:r w:rsidR="00E54539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, online</w:t>
            </w:r>
            <w:r w:rsidR="00D65D1E">
              <w:rPr>
                <w:rFonts w:ascii="Calibri" w:eastAsia="Calibri" w:hAnsi="Calibri" w:cs="Times New Roman"/>
                <w:sz w:val="20"/>
                <w:szCs w:val="20"/>
              </w:rPr>
              <w:t xml:space="preserve"> introductory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training</w:t>
            </w:r>
            <w:r w:rsidR="00E54539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to prepare the participant for</w:t>
            </w:r>
            <w:r w:rsidR="00E54539">
              <w:rPr>
                <w:rFonts w:ascii="Calibri" w:eastAsia="Calibri" w:hAnsi="Calibri" w:cs="Times New Roman"/>
                <w:sz w:val="20"/>
                <w:szCs w:val="20"/>
              </w:rPr>
              <w:t xml:space="preserve"> the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actual training</w:t>
            </w:r>
            <w:r w:rsidR="00D65D1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C87916">
              <w:rPr>
                <w:rFonts w:ascii="Calibri" w:eastAsia="Calibri" w:hAnsi="Calibri" w:cs="Times New Roman"/>
                <w:sz w:val="20"/>
                <w:szCs w:val="20"/>
              </w:rPr>
              <w:t>initiative</w:t>
            </w:r>
            <w:r w:rsidR="003264D8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3150" w:type="dxa"/>
            <w:gridSpan w:val="3"/>
          </w:tcPr>
          <w:p w:rsidR="009F0BCB" w:rsidRPr="009F0BCB" w:rsidRDefault="009F0BCB" w:rsidP="00C8791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Ensure methods are in place to monitor the ongoing and ultimate effectiveness of the initiative. </w:t>
            </w:r>
            <w:r w:rsidR="003264D8" w:rsidRPr="009F0BCB">
              <w:rPr>
                <w:rFonts w:ascii="Calibri" w:eastAsia="Calibri" w:hAnsi="Calibri" w:cs="Times New Roman"/>
                <w:sz w:val="20"/>
                <w:szCs w:val="20"/>
              </w:rPr>
              <w:t>Consider data needs based on stakeholder input gained during the planning phase.</w:t>
            </w:r>
          </w:p>
        </w:tc>
        <w:tc>
          <w:tcPr>
            <w:tcW w:w="3015" w:type="dxa"/>
            <w:gridSpan w:val="3"/>
          </w:tcPr>
          <w:p w:rsidR="009F0BCB" w:rsidRPr="009F0BCB" w:rsidRDefault="009F0BCB" w:rsidP="00E3088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Develop </w:t>
            </w:r>
            <w:r w:rsidR="00187A08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E30885">
              <w:rPr>
                <w:rFonts w:ascii="Calibri" w:eastAsia="Calibri" w:hAnsi="Calibri" w:cs="Times New Roman"/>
                <w:sz w:val="20"/>
                <w:szCs w:val="20"/>
              </w:rPr>
              <w:t>n</w:t>
            </w:r>
            <w:r w:rsidR="00BD309A">
              <w:rPr>
                <w:rFonts w:ascii="Calibri" w:eastAsia="Calibri" w:hAnsi="Calibri" w:cs="Times New Roman"/>
                <w:sz w:val="20"/>
                <w:szCs w:val="20"/>
              </w:rPr>
              <w:t xml:space="preserve"> initiative-specific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dashboard</w:t>
            </w:r>
            <w:r w:rsidR="00BD309A">
              <w:rPr>
                <w:rFonts w:ascii="Calibri" w:eastAsia="Calibri" w:hAnsi="Calibri" w:cs="Times New Roman"/>
                <w:sz w:val="20"/>
                <w:szCs w:val="20"/>
              </w:rPr>
              <w:t xml:space="preserve"> to monitor</w:t>
            </w:r>
            <w:r w:rsidR="00BD309A" w:rsidRPr="00BD309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E30885" w:rsidRPr="00BD309A">
              <w:rPr>
                <w:rFonts w:ascii="Calibri" w:eastAsia="Calibri" w:hAnsi="Calibri" w:cs="Times New Roman"/>
                <w:sz w:val="20"/>
                <w:szCs w:val="20"/>
              </w:rPr>
              <w:t>and</w:t>
            </w:r>
            <w:r w:rsidR="00E30885">
              <w:rPr>
                <w:rFonts w:ascii="Calibri" w:eastAsia="Calibri" w:hAnsi="Calibri" w:cs="Times New Roman"/>
                <w:sz w:val="20"/>
                <w:szCs w:val="20"/>
              </w:rPr>
              <w:t xml:space="preserve"> communicate</w:t>
            </w:r>
            <w:r w:rsidR="00BD309A" w:rsidRPr="00BD309A">
              <w:rPr>
                <w:rFonts w:ascii="Calibri" w:eastAsia="Calibri" w:hAnsi="Calibri" w:cs="Times New Roman"/>
                <w:sz w:val="20"/>
                <w:szCs w:val="20"/>
              </w:rPr>
              <w:t xml:space="preserve"> progress towards outcome</w:t>
            </w:r>
            <w:r w:rsidR="00E30885"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BD309A">
              <w:rPr>
                <w:rFonts w:ascii="Calibri" w:eastAsia="Calibri" w:hAnsi="Calibri" w:cs="Times New Roman"/>
                <w:sz w:val="20"/>
                <w:szCs w:val="20"/>
              </w:rPr>
              <w:t xml:space="preserve">. The dashboard should </w:t>
            </w:r>
            <w:r w:rsidR="00E30885">
              <w:rPr>
                <w:rFonts w:ascii="Calibri" w:eastAsia="Calibri" w:hAnsi="Calibri" w:cs="Times New Roman"/>
                <w:sz w:val="20"/>
                <w:szCs w:val="20"/>
              </w:rPr>
              <w:t>include</w:t>
            </w:r>
            <w:r w:rsidR="00E30885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key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metrics covering summative</w:t>
            </w:r>
            <w:r w:rsidR="00BD309A">
              <w:rPr>
                <w:rFonts w:ascii="Calibri" w:eastAsia="Calibri" w:hAnsi="Calibri" w:cs="Times New Roman"/>
                <w:sz w:val="20"/>
                <w:szCs w:val="20"/>
              </w:rPr>
              <w:t xml:space="preserve"> Kirkpatrick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Level 1 and 2</w:t>
            </w:r>
            <w:r w:rsidR="00187A08">
              <w:rPr>
                <w:rFonts w:ascii="Calibri" w:eastAsia="Calibri" w:hAnsi="Calibri" w:cs="Times New Roman"/>
                <w:sz w:val="20"/>
                <w:szCs w:val="20"/>
              </w:rPr>
              <w:t xml:space="preserve"> assessment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, required drivers, critical behaviors, leading indicators and Level 4 Results.  Set targets for each metric when possible.  If </w:t>
            </w:r>
            <w:r w:rsidR="00187A08">
              <w:rPr>
                <w:rFonts w:ascii="Calibri" w:eastAsia="Calibri" w:hAnsi="Calibri" w:cs="Times New Roman"/>
                <w:sz w:val="20"/>
                <w:szCs w:val="20"/>
              </w:rPr>
              <w:t xml:space="preserve">a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target </w:t>
            </w:r>
            <w:r w:rsidR="00187A08">
              <w:rPr>
                <w:rFonts w:ascii="Calibri" w:eastAsia="Calibri" w:hAnsi="Calibri" w:cs="Times New Roman"/>
                <w:sz w:val="20"/>
                <w:szCs w:val="20"/>
              </w:rPr>
              <w:t>cannot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be set prior to training, monitor early performance</w:t>
            </w:r>
            <w:r w:rsidR="00187A08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and </w:t>
            </w:r>
            <w:r w:rsidR="00187A08">
              <w:rPr>
                <w:rFonts w:ascii="Calibri" w:eastAsia="Calibri" w:hAnsi="Calibri" w:cs="Times New Roman"/>
                <w:sz w:val="20"/>
                <w:szCs w:val="20"/>
              </w:rPr>
              <w:t xml:space="preserve">subsequently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set </w:t>
            </w:r>
            <w:r w:rsidR="00187A08">
              <w:rPr>
                <w:rFonts w:ascii="Calibri" w:eastAsia="Calibri" w:hAnsi="Calibri" w:cs="Times New Roman"/>
                <w:sz w:val="20"/>
                <w:szCs w:val="20"/>
              </w:rPr>
              <w:t xml:space="preserve">the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target</w:t>
            </w:r>
            <w:r w:rsidR="00187A08">
              <w:rPr>
                <w:rFonts w:ascii="Calibri" w:eastAsia="Calibri" w:hAnsi="Calibri" w:cs="Times New Roman"/>
                <w:sz w:val="20"/>
                <w:szCs w:val="20"/>
              </w:rPr>
              <w:t xml:space="preserve"> as appropriate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2112" w:type="dxa"/>
          </w:tcPr>
          <w:p w:rsidR="009F0BCB" w:rsidRPr="009F0BCB" w:rsidRDefault="009F0BCB" w:rsidP="003771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Ensure </w:t>
            </w:r>
            <w:r w:rsidR="00377128">
              <w:rPr>
                <w:rFonts w:ascii="Calibri" w:eastAsia="Calibri" w:hAnsi="Calibri" w:cs="Times New Roman"/>
                <w:sz w:val="20"/>
                <w:szCs w:val="20"/>
              </w:rPr>
              <w:t>pre-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training is </w:t>
            </w:r>
            <w:r w:rsidR="00377128">
              <w:rPr>
                <w:rFonts w:ascii="Calibri" w:eastAsia="Calibri" w:hAnsi="Calibri" w:cs="Times New Roman"/>
                <w:sz w:val="20"/>
                <w:szCs w:val="20"/>
              </w:rPr>
              <w:t>disseminated</w:t>
            </w:r>
            <w:r w:rsidR="00377128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and completed.  </w:t>
            </w:r>
            <w:r w:rsidR="00377128">
              <w:rPr>
                <w:rFonts w:ascii="Calibri" w:eastAsia="Calibri" w:hAnsi="Calibri" w:cs="Times New Roman"/>
                <w:sz w:val="20"/>
                <w:szCs w:val="20"/>
              </w:rPr>
              <w:t xml:space="preserve">The </w:t>
            </w:r>
            <w:r w:rsidR="00377128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pre-training activities </w:t>
            </w:r>
            <w:r w:rsidR="00377128">
              <w:rPr>
                <w:rFonts w:ascii="Calibri" w:eastAsia="Calibri" w:hAnsi="Calibri" w:cs="Times New Roman"/>
                <w:sz w:val="20"/>
                <w:szCs w:val="20"/>
              </w:rPr>
              <w:t>should prepare</w:t>
            </w:r>
            <w:r w:rsidR="00377128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participants </w:t>
            </w:r>
            <w:r w:rsidR="00377128">
              <w:rPr>
                <w:rFonts w:ascii="Calibri" w:eastAsia="Calibri" w:hAnsi="Calibri" w:cs="Times New Roman"/>
                <w:sz w:val="20"/>
                <w:szCs w:val="20"/>
              </w:rPr>
              <w:t>for the training content</w:t>
            </w:r>
          </w:p>
        </w:tc>
        <w:tc>
          <w:tcPr>
            <w:tcW w:w="2279" w:type="dxa"/>
            <w:gridSpan w:val="2"/>
          </w:tcPr>
          <w:p w:rsidR="009F0BCB" w:rsidRPr="009F0BCB" w:rsidRDefault="009F0BCB" w:rsidP="00EF232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Administer Level 1 and 2 evaluations as </w:t>
            </w:r>
            <w:r w:rsidR="00EF232F">
              <w:rPr>
                <w:rFonts w:ascii="Calibri" w:eastAsia="Calibri" w:hAnsi="Calibri" w:cs="Times New Roman"/>
                <w:sz w:val="20"/>
                <w:szCs w:val="20"/>
              </w:rPr>
              <w:t>indicated in the evaluation plan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.  Consider using qualified personnel other than the instructor</w:t>
            </w:r>
            <w:r w:rsidR="00EF232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EF232F" w:rsidRPr="00EF232F">
              <w:rPr>
                <w:rFonts w:ascii="Calibri" w:eastAsia="Calibri" w:hAnsi="Calibri" w:cs="Times New Roman"/>
                <w:sz w:val="20"/>
                <w:szCs w:val="20"/>
              </w:rPr>
              <w:t>to increase honesty and candor</w:t>
            </w:r>
            <w:r w:rsidR="00EF232F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81" w:type="dxa"/>
          </w:tcPr>
          <w:p w:rsidR="009F0BCB" w:rsidRPr="009F0BCB" w:rsidRDefault="00D11EC4" w:rsidP="00D11EC4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Ensure implementation of drivers no later than the conclusion of 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training (or on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start date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upon which training participants agree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) to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optimize participant commitment to learning and application of critical behaviors in their actual 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>job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s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113" w:type="dxa"/>
            <w:gridSpan w:val="2"/>
          </w:tcPr>
          <w:p w:rsidR="009F0BCB" w:rsidRPr="009F0BCB" w:rsidRDefault="009F0BCB" w:rsidP="00EF232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Administer Level 3 and 4 evaluations as planned.  Encourage participants to engage in post-training evaluation activities.  </w:t>
            </w:r>
          </w:p>
        </w:tc>
      </w:tr>
      <w:tr w:rsidR="009F0BCB" w:rsidRPr="009F0BCB" w:rsidTr="000D2A11">
        <w:tc>
          <w:tcPr>
            <w:tcW w:w="134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602A65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Create course objectives and </w:t>
            </w:r>
            <w:r w:rsidR="00D65D1E">
              <w:rPr>
                <w:rFonts w:ascii="Calibri" w:eastAsia="Calibri" w:hAnsi="Calibri" w:cs="Times New Roman"/>
                <w:sz w:val="20"/>
                <w:szCs w:val="20"/>
              </w:rPr>
              <w:t xml:space="preserve">training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content</w:t>
            </w:r>
            <w:r w:rsidR="00D65D1E">
              <w:rPr>
                <w:rFonts w:ascii="Calibri" w:eastAsia="Calibri" w:hAnsi="Calibri" w:cs="Times New Roman"/>
                <w:sz w:val="20"/>
                <w:szCs w:val="20"/>
              </w:rPr>
              <w:t xml:space="preserve"> (with input from Subject Matter Experts)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that </w:t>
            </w:r>
            <w:r w:rsidR="00D65D1E">
              <w:rPr>
                <w:rFonts w:ascii="Calibri" w:eastAsia="Calibri" w:hAnsi="Calibri" w:cs="Times New Roman"/>
                <w:sz w:val="20"/>
                <w:szCs w:val="20"/>
              </w:rPr>
              <w:t xml:space="preserve">will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prepare participants to perform critical behaviors on the job.  The</w:t>
            </w:r>
            <w:r w:rsidR="00D65D1E">
              <w:rPr>
                <w:rFonts w:ascii="Calibri" w:eastAsia="Calibri" w:hAnsi="Calibri" w:cs="Times New Roman"/>
                <w:sz w:val="20"/>
                <w:szCs w:val="20"/>
              </w:rPr>
              <w:t xml:space="preserve"> objectives and content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should </w:t>
            </w:r>
            <w:r w:rsidR="00D65D1E">
              <w:rPr>
                <w:rFonts w:ascii="Calibri" w:eastAsia="Calibri" w:hAnsi="Calibri" w:cs="Times New Roman"/>
                <w:sz w:val="20"/>
                <w:szCs w:val="20"/>
              </w:rPr>
              <w:t>align to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the targeted results of the </w:t>
            </w:r>
            <w:r w:rsidR="00C87916">
              <w:rPr>
                <w:rFonts w:ascii="Calibri" w:eastAsia="Calibri" w:hAnsi="Calibri" w:cs="Times New Roman"/>
                <w:sz w:val="20"/>
                <w:szCs w:val="20"/>
              </w:rPr>
              <w:t>initiative</w:t>
            </w:r>
            <w:r w:rsidR="00D65D1E">
              <w:rPr>
                <w:rFonts w:ascii="Calibri" w:eastAsia="Calibri" w:hAnsi="Calibri" w:cs="Times New Roman"/>
                <w:sz w:val="20"/>
                <w:szCs w:val="20"/>
              </w:rPr>
              <w:t xml:space="preserve">.  They should also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include activities and scenarios that </w:t>
            </w:r>
            <w:r w:rsidR="00D65D1E">
              <w:rPr>
                <w:rFonts w:ascii="Calibri" w:eastAsia="Calibri" w:hAnsi="Calibri" w:cs="Times New Roman"/>
                <w:sz w:val="20"/>
                <w:szCs w:val="20"/>
              </w:rPr>
              <w:t xml:space="preserve">simulate, and challenge participants to address,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real work situations.  </w:t>
            </w:r>
          </w:p>
          <w:p w:rsidR="00602A65" w:rsidRPr="009F0BCB" w:rsidRDefault="00602A65" w:rsidP="00CD1A27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150" w:type="dxa"/>
            <w:gridSpan w:val="3"/>
          </w:tcPr>
          <w:p w:rsidR="009F0BCB" w:rsidRPr="009F0BCB" w:rsidRDefault="003264D8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Measure all four Kirkpatrick levels for mission-critical programs.  Do not overemphasize Levels 1 and 2 or ignore Levels 3 and 4.  Samples provided starting on pg. 35.</w:t>
            </w:r>
          </w:p>
        </w:tc>
        <w:tc>
          <w:tcPr>
            <w:tcW w:w="3015" w:type="dxa"/>
            <w:gridSpan w:val="3"/>
          </w:tcPr>
          <w:p w:rsidR="009F0BCB" w:rsidRPr="009F0BCB" w:rsidRDefault="009F0BCB" w:rsidP="00E3088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Make the dashboard a </w:t>
            </w:r>
            <w:r w:rsidR="00E30885">
              <w:rPr>
                <w:rFonts w:ascii="Calibri" w:eastAsia="Calibri" w:hAnsi="Calibri" w:cs="Times New Roman"/>
                <w:sz w:val="20"/>
                <w:szCs w:val="20"/>
              </w:rPr>
              <w:t>standardized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tool reserved and used for all mission critical programs.  </w:t>
            </w:r>
          </w:p>
        </w:tc>
        <w:tc>
          <w:tcPr>
            <w:tcW w:w="2112" w:type="dxa"/>
          </w:tcPr>
          <w:p w:rsidR="009F0BCB" w:rsidRPr="009F0BCB" w:rsidRDefault="009F0BCB" w:rsidP="00377128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Deliver the training according to the</w:t>
            </w:r>
            <w:r w:rsidR="00377128">
              <w:rPr>
                <w:rFonts w:ascii="Calibri" w:eastAsia="Calibri" w:hAnsi="Calibri" w:cs="Times New Roman"/>
                <w:sz w:val="20"/>
                <w:szCs w:val="20"/>
              </w:rPr>
              <w:t xml:space="preserve"> training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D2A11">
              <w:rPr>
                <w:rFonts w:ascii="Calibri" w:eastAsia="Calibri" w:hAnsi="Calibri" w:cs="Times New Roman"/>
                <w:sz w:val="20"/>
                <w:szCs w:val="20"/>
              </w:rPr>
              <w:t xml:space="preserve">initiative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plan</w:t>
            </w:r>
            <w:r w:rsidR="00377128">
              <w:rPr>
                <w:rFonts w:ascii="Calibri" w:eastAsia="Calibri" w:hAnsi="Calibri" w:cs="Times New Roman"/>
                <w:sz w:val="20"/>
                <w:szCs w:val="20"/>
              </w:rPr>
              <w:t xml:space="preserve"> developed during the planning stage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.  This should include</w:t>
            </w:r>
            <w:r w:rsidR="00E23692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post-training</w:t>
            </w:r>
            <w:r w:rsidR="00E23692">
              <w:rPr>
                <w:rFonts w:ascii="Calibri" w:eastAsia="Calibri" w:hAnsi="Calibri" w:cs="Times New Roman"/>
                <w:sz w:val="20"/>
                <w:szCs w:val="20"/>
              </w:rPr>
              <w:t xml:space="preserve"> activities to further reinforce learning and the achievement of results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2279" w:type="dxa"/>
            <w:gridSpan w:val="2"/>
          </w:tcPr>
          <w:p w:rsidR="009F0BCB" w:rsidRPr="009F0BCB" w:rsidRDefault="009F0BCB" w:rsidP="00EF232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Immediately analyze </w:t>
            </w:r>
            <w:r w:rsidR="00D11EC4">
              <w:rPr>
                <w:rFonts w:ascii="Calibri" w:eastAsia="Calibri" w:hAnsi="Calibri" w:cs="Times New Roman"/>
                <w:sz w:val="20"/>
                <w:szCs w:val="20"/>
              </w:rPr>
              <w:t xml:space="preserve">the evaluation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data in relation to targeted standards.  If metrics are below</w:t>
            </w:r>
            <w:r w:rsidR="00EF232F">
              <w:rPr>
                <w:rFonts w:ascii="Calibri" w:eastAsia="Calibri" w:hAnsi="Calibri" w:cs="Times New Roman"/>
                <w:sz w:val="20"/>
                <w:szCs w:val="20"/>
              </w:rPr>
              <w:t xml:space="preserve"> target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, determine the cause.  </w:t>
            </w:r>
          </w:p>
        </w:tc>
        <w:tc>
          <w:tcPr>
            <w:tcW w:w="2181" w:type="dxa"/>
          </w:tcPr>
          <w:p w:rsidR="009F0BCB" w:rsidRPr="009F0BCB" w:rsidRDefault="009F0BCB" w:rsidP="00200CBD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Monitor the drivers </w:t>
            </w:r>
            <w:r w:rsidR="00EF232F">
              <w:rPr>
                <w:rFonts w:ascii="Calibri" w:eastAsia="Calibri" w:hAnsi="Calibri" w:cs="Times New Roman"/>
                <w:sz w:val="20"/>
                <w:szCs w:val="20"/>
              </w:rPr>
              <w:t xml:space="preserve">at the training outset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to </w:t>
            </w:r>
            <w:r w:rsidR="00554497">
              <w:rPr>
                <w:rFonts w:ascii="Calibri" w:eastAsia="Calibri" w:hAnsi="Calibri" w:cs="Times New Roman"/>
                <w:sz w:val="20"/>
                <w:szCs w:val="20"/>
              </w:rPr>
              <w:t>ensure actual implementation</w:t>
            </w:r>
            <w:r w:rsidR="00EF232F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Make modifications to the </w:t>
            </w:r>
            <w:r w:rsidR="00EF232F">
              <w:rPr>
                <w:rFonts w:ascii="Calibri" w:eastAsia="Calibri" w:hAnsi="Calibri" w:cs="Times New Roman"/>
                <w:sz w:val="20"/>
                <w:szCs w:val="20"/>
              </w:rPr>
              <w:t xml:space="preserve">training initiative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plan when indicated</w:t>
            </w:r>
            <w:r w:rsidR="00EF232F">
              <w:rPr>
                <w:rFonts w:ascii="Calibri" w:eastAsia="Calibri" w:hAnsi="Calibri" w:cs="Times New Roman"/>
                <w:sz w:val="20"/>
                <w:szCs w:val="20"/>
              </w:rPr>
              <w:t xml:space="preserve"> by data.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113" w:type="dxa"/>
            <w:gridSpan w:val="2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Immediately analyze data in relation to targeted standards.  If actual metrics are below targets, determine the cause(s).  Dashboard samples start on pg. 54</w:t>
            </w:r>
          </w:p>
        </w:tc>
      </w:tr>
      <w:tr w:rsidR="009F0BCB" w:rsidRPr="009F0BCB" w:rsidTr="000D2A11">
        <w:tc>
          <w:tcPr>
            <w:tcW w:w="1346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632" w:type="dxa"/>
          </w:tcPr>
          <w:p w:rsidR="009F0BCB" w:rsidRPr="009F0BCB" w:rsidRDefault="00F20DFF" w:rsidP="00F20DF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Create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>the drivers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F20DFF">
              <w:rPr>
                <w:rFonts w:ascii="Calibri" w:eastAsia="Calibri" w:hAnsi="Calibri" w:cs="Times New Roman"/>
                <w:sz w:val="20"/>
                <w:szCs w:val="20"/>
              </w:rPr>
              <w:t xml:space="preserve">identified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in step 4 of the planning stage, 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that are the responsibility of the training function.  </w:t>
            </w:r>
          </w:p>
        </w:tc>
        <w:tc>
          <w:tcPr>
            <w:tcW w:w="3150" w:type="dxa"/>
            <w:gridSpan w:val="3"/>
          </w:tcPr>
          <w:p w:rsidR="00F20DFF" w:rsidRDefault="003264D8" w:rsidP="00F20DFF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Use a blend of formative and summative evaluation methods</w:t>
            </w:r>
            <w:r w:rsidR="00F20DFF">
              <w:rPr>
                <w:rFonts w:ascii="Calibri" w:eastAsia="Calibri" w:hAnsi="Calibri" w:cs="Times New Roman"/>
                <w:sz w:val="20"/>
                <w:szCs w:val="20"/>
              </w:rPr>
              <w:t xml:space="preserve"> whenever possible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.  Do not use surveys as the primary evaluation method/tool. </w:t>
            </w:r>
            <w:r w:rsidR="00502CF5">
              <w:rPr>
                <w:rFonts w:ascii="Calibri" w:eastAsia="Calibri" w:hAnsi="Calibri" w:cs="Times New Roman"/>
                <w:sz w:val="20"/>
                <w:szCs w:val="20"/>
              </w:rPr>
              <w:t>Examples of evaluation methods begin on page 33.</w:t>
            </w:r>
            <w:r w:rsidR="00F20DFF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:rsidR="00B7220F" w:rsidRDefault="00B7220F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015" w:type="dxa"/>
            <w:gridSpan w:val="3"/>
          </w:tcPr>
          <w:p w:rsidR="009F0BCB" w:rsidRPr="009F0BCB" w:rsidRDefault="009F0BCB" w:rsidP="00E3088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Update the dashboard </w:t>
            </w:r>
            <w:r w:rsidR="0087282B">
              <w:rPr>
                <w:rFonts w:ascii="Calibri" w:eastAsia="Calibri" w:hAnsi="Calibri" w:cs="Times New Roman"/>
                <w:sz w:val="20"/>
                <w:szCs w:val="20"/>
              </w:rPr>
              <w:t xml:space="preserve">on a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monthly</w:t>
            </w:r>
            <w:r w:rsidR="0087282B">
              <w:rPr>
                <w:rFonts w:ascii="Calibri" w:eastAsia="Calibri" w:hAnsi="Calibri" w:cs="Times New Roman"/>
                <w:sz w:val="20"/>
                <w:szCs w:val="20"/>
              </w:rPr>
              <w:t xml:space="preserve"> basis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87282B">
              <w:rPr>
                <w:rFonts w:ascii="Calibri" w:eastAsia="Calibri" w:hAnsi="Calibri" w:cs="Times New Roman"/>
                <w:sz w:val="20"/>
                <w:szCs w:val="20"/>
              </w:rPr>
              <w:t xml:space="preserve">to optimize its value as a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dynamic management system for making informed decisions,</w:t>
            </w:r>
            <w:r w:rsidR="0087282B">
              <w:rPr>
                <w:rFonts w:ascii="Calibri" w:eastAsia="Calibri" w:hAnsi="Calibri" w:cs="Times New Roman"/>
                <w:sz w:val="20"/>
                <w:szCs w:val="20"/>
              </w:rPr>
              <w:t xml:space="preserve"> as well as a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communication tool to keep participants, team members, stakeholders and other apprised of initiative progress.  </w:t>
            </w:r>
          </w:p>
        </w:tc>
        <w:tc>
          <w:tcPr>
            <w:tcW w:w="2112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279" w:type="dxa"/>
            <w:gridSpan w:val="2"/>
          </w:tcPr>
          <w:p w:rsidR="009F0BCB" w:rsidRPr="009F0BCB" w:rsidRDefault="009F0BCB" w:rsidP="0050293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Determine proper interventions </w:t>
            </w:r>
            <w:r w:rsidR="0050293B">
              <w:rPr>
                <w:rFonts w:ascii="Calibri" w:eastAsia="Calibri" w:hAnsi="Calibri" w:cs="Times New Roman"/>
                <w:sz w:val="20"/>
                <w:szCs w:val="20"/>
              </w:rPr>
              <w:t xml:space="preserve">where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indicated</w:t>
            </w:r>
            <w:r w:rsidR="0050293B">
              <w:rPr>
                <w:rFonts w:ascii="Calibri" w:eastAsia="Calibri" w:hAnsi="Calibri" w:cs="Times New Roman"/>
                <w:sz w:val="20"/>
                <w:szCs w:val="20"/>
              </w:rPr>
              <w:t xml:space="preserve"> by data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502CF5">
              <w:rPr>
                <w:rFonts w:ascii="Calibri" w:eastAsia="Calibri" w:hAnsi="Calibri" w:cs="Times New Roman"/>
                <w:sz w:val="20"/>
                <w:szCs w:val="20"/>
              </w:rPr>
              <w:t xml:space="preserve">  </w:t>
            </w:r>
            <w:r w:rsidR="00502CF5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Communicate training </w:t>
            </w:r>
            <w:r w:rsidR="00502CF5">
              <w:rPr>
                <w:rFonts w:ascii="Calibri" w:eastAsia="Calibri" w:hAnsi="Calibri" w:cs="Times New Roman"/>
                <w:sz w:val="20"/>
                <w:szCs w:val="20"/>
              </w:rPr>
              <w:t>initiative</w:t>
            </w:r>
            <w:r w:rsidR="00502CF5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modifications resulting from feedback to participants and stakeholders</w:t>
            </w:r>
            <w:r w:rsidR="00502CF5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502CF5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where indicated.</w:t>
            </w:r>
          </w:p>
        </w:tc>
        <w:tc>
          <w:tcPr>
            <w:tcW w:w="2181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13" w:type="dxa"/>
            <w:gridSpan w:val="2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Determine and implement proper interventions where indicated.</w:t>
            </w:r>
          </w:p>
        </w:tc>
      </w:tr>
    </w:tbl>
    <w:p w:rsidR="009F0BCB" w:rsidRPr="009F0BCB" w:rsidRDefault="009F0BCB" w:rsidP="009F0BCB">
      <w:pPr>
        <w:rPr>
          <w:rFonts w:ascii="Calibri" w:eastAsia="Times New Roman" w:hAnsi="Calibri" w:cs="Calibri"/>
          <w:sz w:val="21"/>
          <w:szCs w:val="21"/>
        </w:rPr>
      </w:pPr>
    </w:p>
    <w:p w:rsidR="009F0BCB" w:rsidRPr="009F0BCB" w:rsidRDefault="009F0BCB" w:rsidP="009F0BCB">
      <w:pPr>
        <w:rPr>
          <w:rFonts w:ascii="Calibri" w:eastAsia="Times New Roman" w:hAnsi="Calibri" w:cs="Calibri"/>
          <w:sz w:val="21"/>
          <w:szCs w:val="21"/>
        </w:rPr>
      </w:pPr>
    </w:p>
    <w:tbl>
      <w:tblPr>
        <w:tblW w:w="18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1221"/>
        <w:gridCol w:w="1250"/>
        <w:gridCol w:w="1049"/>
        <w:gridCol w:w="3517"/>
        <w:gridCol w:w="9911"/>
      </w:tblGrid>
      <w:tr w:rsidR="009F0BCB" w:rsidRPr="009F0BCB" w:rsidTr="000B35BB">
        <w:tc>
          <w:tcPr>
            <w:tcW w:w="1435" w:type="dxa"/>
            <w:vMerge w:val="restart"/>
            <w:shd w:val="clear" w:color="auto" w:fill="auto"/>
            <w:textDirection w:val="btLr"/>
          </w:tcPr>
          <w:p w:rsidR="009F0BCB" w:rsidRPr="00502CF5" w:rsidRDefault="009F0BCB" w:rsidP="009F0BCB">
            <w:pPr>
              <w:spacing w:after="0" w:line="240" w:lineRule="auto"/>
              <w:ind w:left="113" w:right="113"/>
              <w:rPr>
                <w:rFonts w:ascii="Calibri" w:eastAsia="Calibri" w:hAnsi="Calibri" w:cs="Times New Roman"/>
                <w:sz w:val="68"/>
                <w:szCs w:val="68"/>
              </w:rPr>
            </w:pPr>
            <w:r w:rsidRPr="00502CF5">
              <w:rPr>
                <w:rFonts w:ascii="Calibri" w:eastAsia="Calibri" w:hAnsi="Calibri" w:cs="Times New Roman"/>
                <w:b/>
                <w:sz w:val="68"/>
                <w:szCs w:val="68"/>
              </w:rPr>
              <w:t>Demonstration of Value Stage</w:t>
            </w:r>
          </w:p>
        </w:tc>
        <w:tc>
          <w:tcPr>
            <w:tcW w:w="3327" w:type="dxa"/>
            <w:gridSpan w:val="3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76</w:t>
            </w:r>
          </w:p>
        </w:tc>
        <w:tc>
          <w:tcPr>
            <w:tcW w:w="3547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78</w:t>
            </w:r>
          </w:p>
        </w:tc>
        <w:tc>
          <w:tcPr>
            <w:tcW w:w="10069" w:type="dxa"/>
            <w:vMerge w:val="restart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BCB" w:rsidRPr="009F0BCB" w:rsidTr="000B35BB">
        <w:tc>
          <w:tcPr>
            <w:tcW w:w="143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1:  Prepare Chain of Evidence</w:t>
            </w:r>
          </w:p>
        </w:tc>
        <w:tc>
          <w:tcPr>
            <w:tcW w:w="3547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20"/>
                <w:szCs w:val="20"/>
              </w:rPr>
              <w:t>Step 2:  Report Data and Information</w:t>
            </w:r>
          </w:p>
        </w:tc>
        <w:tc>
          <w:tcPr>
            <w:tcW w:w="10069" w:type="dxa"/>
            <w:vMerge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BCB" w:rsidRPr="009F0BCB" w:rsidTr="000B35BB">
        <w:tc>
          <w:tcPr>
            <w:tcW w:w="143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29" w:type="dxa"/>
            <w:shd w:val="clear" w:color="auto" w:fill="FABF8F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Inputs</w:t>
            </w:r>
          </w:p>
        </w:tc>
        <w:tc>
          <w:tcPr>
            <w:tcW w:w="1256" w:type="dxa"/>
            <w:shd w:val="clear" w:color="auto" w:fill="C2D69B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Outputs</w:t>
            </w:r>
          </w:p>
        </w:tc>
        <w:tc>
          <w:tcPr>
            <w:tcW w:w="842" w:type="dxa"/>
            <w:shd w:val="clear" w:color="auto" w:fill="D99594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Outcomes</w:t>
            </w:r>
          </w:p>
        </w:tc>
        <w:tc>
          <w:tcPr>
            <w:tcW w:w="3547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069" w:type="dxa"/>
            <w:vMerge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BCB" w:rsidRPr="009F0BCB" w:rsidTr="000B35BB">
        <w:tc>
          <w:tcPr>
            <w:tcW w:w="143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shd w:val="clear" w:color="auto" w:fill="auto"/>
          </w:tcPr>
          <w:p w:rsidR="009F0BCB" w:rsidRPr="009F0BCB" w:rsidRDefault="00145182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Consider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the audience identified in the planning stage and the types of evidence requested by each.  </w:t>
            </w:r>
            <w:r w:rsidR="005D3FC5">
              <w:rPr>
                <w:rFonts w:ascii="Calibri" w:eastAsia="Calibri" w:hAnsi="Calibri" w:cs="Times New Roman"/>
                <w:sz w:val="20"/>
                <w:szCs w:val="20"/>
              </w:rPr>
              <w:t>Consider the following:  n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>ot all data is for all audiences</w:t>
            </w:r>
            <w:r w:rsidR="005D3FC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degree of detail will vary by stakeholder</w:t>
            </w:r>
            <w:r w:rsidR="005D3FC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and more data is not always better.</w:t>
            </w: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47" w:type="dxa"/>
          </w:tcPr>
          <w:p w:rsidR="009F0BCB" w:rsidRPr="009F0BCB" w:rsidRDefault="009F0BCB" w:rsidP="005D3FC5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Verify that the report </w:t>
            </w:r>
            <w:r w:rsidR="005D3FC5">
              <w:rPr>
                <w:rFonts w:ascii="Calibri" w:eastAsia="Calibri" w:hAnsi="Calibri" w:cs="Times New Roman"/>
                <w:sz w:val="20"/>
                <w:szCs w:val="20"/>
              </w:rPr>
              <w:t>provides the most relevant information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2F3B48">
              <w:rPr>
                <w:rFonts w:ascii="Calibri" w:eastAsia="Calibri" w:hAnsi="Calibri" w:cs="Times New Roman"/>
                <w:sz w:val="20"/>
                <w:szCs w:val="20"/>
              </w:rPr>
              <w:t>to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the</w:t>
            </w:r>
            <w:r w:rsidR="005D3FC5">
              <w:rPr>
                <w:rFonts w:ascii="Calibri" w:eastAsia="Calibri" w:hAnsi="Calibri" w:cs="Times New Roman"/>
                <w:sz w:val="20"/>
                <w:szCs w:val="20"/>
              </w:rPr>
              <w:t xml:space="preserve"> specific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audience</w:t>
            </w:r>
            <w:r w:rsidR="005D3FC5">
              <w:rPr>
                <w:rFonts w:ascii="Calibri" w:eastAsia="Calibri" w:hAnsi="Calibri" w:cs="Times New Roman"/>
                <w:sz w:val="20"/>
                <w:szCs w:val="20"/>
              </w:rPr>
              <w:t xml:space="preserve"> for which the report is intended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0069" w:type="dxa"/>
            <w:vMerge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BCB" w:rsidRPr="009F0BCB" w:rsidTr="000B35BB">
        <w:tc>
          <w:tcPr>
            <w:tcW w:w="143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="002F3B48">
              <w:rPr>
                <w:rFonts w:ascii="Calibri" w:eastAsia="Calibri" w:hAnsi="Calibri" w:cs="Times New Roman"/>
                <w:sz w:val="20"/>
                <w:szCs w:val="20"/>
              </w:rPr>
              <w:t>resent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the evidence </w:t>
            </w:r>
            <w:r w:rsidR="002F3B48">
              <w:rPr>
                <w:rFonts w:ascii="Calibri" w:eastAsia="Calibri" w:hAnsi="Calibri" w:cs="Times New Roman"/>
                <w:sz w:val="20"/>
                <w:szCs w:val="20"/>
              </w:rPr>
              <w:t>sequentially to the Kirkpatrick Levels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, starting with Level 1 and ending with Level 4.</w:t>
            </w:r>
            <w:r w:rsidR="002F3B4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Include data on required drivers and leading indicators.  Highlight connections between training, learning, job environment, performance and mission accomplishment.</w:t>
            </w: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47" w:type="dxa"/>
          </w:tcPr>
          <w:p w:rsidR="009F0BCB" w:rsidRPr="009F0BCB" w:rsidRDefault="002F3B48" w:rsidP="00145182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For oral presentations, rehearse to ensure successful delivery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10069" w:type="dxa"/>
            <w:vMerge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BCB" w:rsidRPr="009F0BCB" w:rsidTr="000B35BB">
        <w:tc>
          <w:tcPr>
            <w:tcW w:w="143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Where appropriate, include employee testimonies that will help make powerful connections between the levels</w:t>
            </w:r>
            <w:r w:rsidR="00145182">
              <w:rPr>
                <w:rFonts w:ascii="Calibri" w:eastAsia="Calibri" w:hAnsi="Calibri" w:cs="Times New Roman"/>
                <w:sz w:val="20"/>
                <w:szCs w:val="20"/>
              </w:rPr>
              <w:t xml:space="preserve"> to demonstrate value.</w:t>
            </w: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47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If appropriate, offer recommendations for future applications of the</w:t>
            </w:r>
            <w:r w:rsidR="00145182">
              <w:rPr>
                <w:rFonts w:ascii="Calibri" w:eastAsia="Calibri" w:hAnsi="Calibri" w:cs="Times New Roman"/>
                <w:sz w:val="20"/>
                <w:szCs w:val="20"/>
              </w:rPr>
              <w:t xml:space="preserve"> Kirkpatrick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45182">
              <w:rPr>
                <w:rFonts w:ascii="Calibri" w:eastAsia="Calibri" w:hAnsi="Calibri" w:cs="Times New Roman"/>
                <w:sz w:val="20"/>
                <w:szCs w:val="20"/>
              </w:rPr>
              <w:t>B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usiness </w:t>
            </w:r>
            <w:r w:rsidR="00145182"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artnership </w:t>
            </w:r>
            <w:r w:rsidR="00145182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odel</w:t>
            </w:r>
            <w:r w:rsidR="00145182">
              <w:rPr>
                <w:rFonts w:ascii="Calibri" w:eastAsia="Calibri" w:hAnsi="Calibri" w:cs="Times New Roman"/>
                <w:sz w:val="20"/>
                <w:szCs w:val="20"/>
              </w:rPr>
              <w:t xml:space="preserve"> (pg. 7)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0069" w:type="dxa"/>
            <w:vMerge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BCB" w:rsidRPr="009F0BCB" w:rsidTr="000B35BB">
        <w:tc>
          <w:tcPr>
            <w:tcW w:w="143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shd w:val="clear" w:color="auto" w:fill="auto"/>
          </w:tcPr>
          <w:p w:rsidR="009F0BCB" w:rsidRPr="009F0BCB" w:rsidRDefault="001D4C6C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Identify</w:t>
            </w: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F0BCB" w:rsidRPr="009F0BCB">
              <w:rPr>
                <w:rFonts w:ascii="Calibri" w:eastAsia="Calibri" w:hAnsi="Calibri" w:cs="Times New Roman"/>
                <w:sz w:val="20"/>
                <w:szCs w:val="20"/>
              </w:rPr>
              <w:t>any intangible or collateral benefits at the end of the chain of evidence.</w:t>
            </w:r>
          </w:p>
        </w:tc>
        <w:tc>
          <w:tcPr>
            <w:tcW w:w="3547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069" w:type="dxa"/>
            <w:vMerge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BCB" w:rsidRPr="009F0BCB" w:rsidTr="000B35BB">
        <w:tc>
          <w:tcPr>
            <w:tcW w:w="143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327" w:type="dxa"/>
            <w:gridSpan w:val="3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Determine the simplest way to communicate the data:  verbally, in writing, with the dashboard, or through other key visuals (graphs, tables, charts)</w:t>
            </w:r>
            <w:r w:rsidR="00145182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3547" w:type="dxa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0069" w:type="dxa"/>
            <w:vMerge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:rsidR="009F0BCB" w:rsidRPr="009F0BCB" w:rsidRDefault="009F0BCB" w:rsidP="009F0BCB">
      <w:pPr>
        <w:spacing w:after="0" w:line="240" w:lineRule="auto"/>
        <w:rPr>
          <w:rFonts w:ascii="Calibri" w:eastAsia="Times New Roman" w:hAnsi="Calibri" w:cs="Calibri"/>
          <w:sz w:val="21"/>
          <w:szCs w:val="21"/>
        </w:rPr>
      </w:pPr>
    </w:p>
    <w:p w:rsidR="009F0BCB" w:rsidRPr="009F0BCB" w:rsidRDefault="009F0BCB" w:rsidP="009F0BCB">
      <w:pPr>
        <w:rPr>
          <w:rFonts w:ascii="Calibri" w:eastAsia="Times New Roman" w:hAnsi="Calibri" w:cs="Calibri"/>
          <w:sz w:val="21"/>
          <w:szCs w:val="21"/>
        </w:rPr>
      </w:pPr>
      <w:r w:rsidRPr="009F0BCB">
        <w:rPr>
          <w:rFonts w:ascii="Calibri" w:eastAsia="Times New Roman" w:hAnsi="Calibri" w:cs="Calibri"/>
          <w:sz w:val="21"/>
          <w:szCs w:val="21"/>
        </w:rPr>
        <w:br w:type="page"/>
      </w:r>
    </w:p>
    <w:p w:rsidR="009F0BCB" w:rsidRPr="009F0BCB" w:rsidRDefault="009F0BCB" w:rsidP="009F0BCB">
      <w:pPr>
        <w:rPr>
          <w:rFonts w:ascii="Calibri" w:eastAsia="Times New Roman" w:hAnsi="Calibri" w:cs="Calibri"/>
          <w:sz w:val="21"/>
          <w:szCs w:val="21"/>
        </w:rPr>
      </w:pPr>
    </w:p>
    <w:tbl>
      <w:tblPr>
        <w:tblW w:w="1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135"/>
        <w:gridCol w:w="12118"/>
      </w:tblGrid>
      <w:tr w:rsidR="009F0BCB" w:rsidRPr="009F0BCB" w:rsidTr="00BD5766">
        <w:tc>
          <w:tcPr>
            <w:tcW w:w="1575" w:type="dxa"/>
            <w:vMerge w:val="restart"/>
            <w:shd w:val="clear" w:color="auto" w:fill="auto"/>
            <w:textDirection w:val="btLr"/>
          </w:tcPr>
          <w:p w:rsidR="009F0BCB" w:rsidRPr="009F0BCB" w:rsidRDefault="009F0BCB" w:rsidP="009F0BCB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Times New Roman"/>
                <w:b/>
                <w:sz w:val="72"/>
                <w:szCs w:val="72"/>
              </w:rPr>
            </w:pPr>
            <w:r w:rsidRPr="009F0BCB">
              <w:rPr>
                <w:rFonts w:ascii="Calibri" w:eastAsia="Calibri" w:hAnsi="Calibri" w:cs="Times New Roman"/>
                <w:b/>
                <w:sz w:val="72"/>
                <w:szCs w:val="72"/>
              </w:rPr>
              <w:t>Resolutions</w:t>
            </w:r>
          </w:p>
          <w:p w:rsidR="009F0BCB" w:rsidRPr="009F0BCB" w:rsidRDefault="009F0BCB" w:rsidP="009F0BCB">
            <w:pPr>
              <w:spacing w:after="0" w:line="240" w:lineRule="auto"/>
              <w:ind w:left="113" w:right="113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b/>
                <w:sz w:val="36"/>
                <w:szCs w:val="36"/>
              </w:rPr>
              <w:t>to common challenges</w:t>
            </w:r>
          </w:p>
        </w:tc>
        <w:tc>
          <w:tcPr>
            <w:tcW w:w="17253" w:type="dxa"/>
            <w:gridSpan w:val="2"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F0BCB">
              <w:rPr>
                <w:rFonts w:ascii="Calibri" w:eastAsia="Calibri" w:hAnsi="Calibri" w:cs="Times New Roman"/>
                <w:sz w:val="20"/>
                <w:szCs w:val="20"/>
              </w:rPr>
              <w:t>Pg. 80</w:t>
            </w:r>
          </w:p>
        </w:tc>
      </w:tr>
      <w:tr w:rsidR="009F0BCB" w:rsidRPr="009F0BCB" w:rsidTr="00BD5766">
        <w:tc>
          <w:tcPr>
            <w:tcW w:w="157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:rsidR="009F0BCB" w:rsidRPr="00772EC2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772EC2">
              <w:rPr>
                <w:rFonts w:ascii="Calibri" w:eastAsia="Calibri" w:hAnsi="Calibri" w:cs="Times New Roman"/>
                <w:b/>
                <w:sz w:val="20"/>
                <w:szCs w:val="20"/>
              </w:rPr>
              <w:t>Common Challenges</w:t>
            </w:r>
          </w:p>
        </w:tc>
        <w:tc>
          <w:tcPr>
            <w:tcW w:w="12118" w:type="dxa"/>
          </w:tcPr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b/>
                <w:bCs/>
                <w:color w:val="000000"/>
              </w:rPr>
              <w:t xml:space="preserve">Strategic Business Partnership Solution </w:t>
            </w: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BCB" w:rsidRPr="009F0BCB" w:rsidTr="00BD5766">
        <w:tc>
          <w:tcPr>
            <w:tcW w:w="157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>“Our budget is too small to train.”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18" w:type="dxa"/>
          </w:tcPr>
          <w:p w:rsidR="009F0BCB" w:rsidRPr="009F0BCB" w:rsidRDefault="009F0BCB" w:rsidP="00DD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Solicit and obtain senior agency leadership commitment to training, and emphasize </w:t>
            </w:r>
            <w:r w:rsidR="00DD0F7D">
              <w:rPr>
                <w:rFonts w:ascii="Calibri" w:eastAsia="Calibri" w:hAnsi="Calibri" w:cs="Calibri"/>
                <w:color w:val="000000"/>
              </w:rPr>
              <w:t>a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resource-efficient interagency training solution to minimize agency-specific costs</w:t>
            </w:r>
            <w:r w:rsidR="00DD0F7D">
              <w:rPr>
                <w:rFonts w:ascii="Calibri" w:eastAsia="Calibri" w:hAnsi="Calibri" w:cs="Calibri"/>
                <w:color w:val="000000"/>
              </w:rPr>
              <w:t xml:space="preserve"> and a resulting quantifiable return on investment</w:t>
            </w:r>
            <w:r w:rsidRPr="009F0BCB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9F0BCB" w:rsidRPr="009F0BCB" w:rsidTr="00BD5766">
        <w:tc>
          <w:tcPr>
            <w:tcW w:w="157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“Our budget is too small to do much other than train.” </w:t>
            </w:r>
          </w:p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2118" w:type="dxa"/>
          </w:tcPr>
          <w:p w:rsidR="00DD0F7D" w:rsidRDefault="00DD0F7D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Review and strategically realign resources to organizational mission and training priorities: </w:t>
            </w:r>
          </w:p>
          <w:p w:rsidR="009F0BCB" w:rsidRPr="009F0BCB" w:rsidRDefault="00DD0F7D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DD0F7D">
              <w:rPr>
                <w:rFonts w:ascii="Calibri" w:eastAsia="Calibri" w:hAnsi="Calibri" w:cs="Calibri"/>
                <w:color w:val="000000"/>
              </w:rPr>
              <w:t>•</w:t>
            </w:r>
            <w:r>
              <w:rPr>
                <w:rFonts w:ascii="Calibri" w:eastAsia="Calibri" w:hAnsi="Calibri" w:cs="Calibri"/>
                <w:color w:val="000000"/>
              </w:rPr>
              <w:t xml:space="preserve"> Conduct </w:t>
            </w:r>
            <w:r w:rsidR="009F0BCB" w:rsidRPr="009F0BCB">
              <w:rPr>
                <w:rFonts w:ascii="Calibri" w:eastAsia="Calibri" w:hAnsi="Calibri" w:cs="Calibri"/>
                <w:color w:val="000000"/>
              </w:rPr>
              <w:t>an inventory of your</w:t>
            </w:r>
            <w:r>
              <w:rPr>
                <w:rFonts w:ascii="Calibri" w:eastAsia="Calibri" w:hAnsi="Calibri" w:cs="Calibri"/>
                <w:color w:val="000000"/>
              </w:rPr>
              <w:t xml:space="preserve"> current</w:t>
            </w:r>
            <w:r w:rsidR="009F0BCB" w:rsidRPr="009F0BCB">
              <w:rPr>
                <w:rFonts w:ascii="Calibri" w:eastAsia="Calibri" w:hAnsi="Calibri" w:cs="Calibri"/>
                <w:color w:val="000000"/>
              </w:rPr>
              <w:t xml:space="preserve"> training programs and </w:t>
            </w:r>
            <w:r>
              <w:rPr>
                <w:rFonts w:ascii="Calibri" w:eastAsia="Calibri" w:hAnsi="Calibri" w:cs="Calibri"/>
                <w:color w:val="000000"/>
              </w:rPr>
              <w:t>prioritize these programs based on organizational value</w:t>
            </w:r>
            <w:r w:rsidR="006963A6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E1661">
              <w:rPr>
                <w:rFonts w:ascii="Calibri" w:eastAsia="Calibri" w:hAnsi="Calibri" w:cs="Calibri"/>
                <w:color w:val="000000"/>
              </w:rPr>
              <w:t xml:space="preserve"> including impact on strategic goals.</w:t>
            </w:r>
            <w:r w:rsidR="009F0BCB" w:rsidRPr="009F0BCB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9F0BCB" w:rsidRPr="00772EC2" w:rsidRDefault="009F0BCB" w:rsidP="00DD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• </w:t>
            </w:r>
            <w:r w:rsidR="006963A6">
              <w:rPr>
                <w:rFonts w:ascii="Calibri" w:eastAsia="Calibri" w:hAnsi="Calibri" w:cs="Calibri"/>
                <w:color w:val="000000"/>
              </w:rPr>
              <w:t>Identify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963A6">
              <w:rPr>
                <w:rFonts w:ascii="Calibri" w:eastAsia="Calibri" w:hAnsi="Calibri" w:cs="Calibri"/>
                <w:color w:val="000000"/>
              </w:rPr>
              <w:t xml:space="preserve">more cost-effective learning methods, particularly for lower-value programs (e.g., technological solutions can often provide electronic or other distance-learning methods as a substitute for </w:t>
            </w:r>
            <w:r w:rsidR="006963A6" w:rsidRPr="006963A6">
              <w:rPr>
                <w:rFonts w:ascii="Calibri" w:eastAsia="Calibri" w:hAnsi="Calibri" w:cs="Calibri"/>
                <w:color w:val="000000"/>
              </w:rPr>
              <w:t xml:space="preserve">content-heavy </w:t>
            </w:r>
            <w:r w:rsidR="006963A6">
              <w:rPr>
                <w:rFonts w:ascii="Calibri" w:eastAsia="Calibri" w:hAnsi="Calibri" w:cs="Calibri"/>
                <w:color w:val="000000"/>
              </w:rPr>
              <w:t>instructor-led or even on-line training, and training needs may at times be met through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job aids or other on-the-job interventions</w:t>
            </w:r>
            <w:r w:rsidR="006963A6">
              <w:rPr>
                <w:rFonts w:ascii="Calibri" w:eastAsia="Calibri" w:hAnsi="Calibri" w:cs="Calibri"/>
                <w:color w:val="000000"/>
              </w:rPr>
              <w:t>)</w:t>
            </w:r>
            <w:r w:rsidRPr="009F0BCB">
              <w:rPr>
                <w:rFonts w:ascii="Calibri" w:eastAsia="Calibri" w:hAnsi="Calibri" w:cs="Calibri"/>
                <w:color w:val="000000"/>
              </w:rPr>
              <w:t>.</w:t>
            </w:r>
          </w:p>
          <w:p w:rsidR="00DD0F7D" w:rsidRPr="00DD0F7D" w:rsidRDefault="00DD0F7D" w:rsidP="00DD0F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DD0F7D">
              <w:rPr>
                <w:rFonts w:ascii="Calibri" w:eastAsia="Calibri" w:hAnsi="Calibri" w:cs="Calibri"/>
                <w:color w:val="000000"/>
              </w:rPr>
              <w:t>•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6963A6">
              <w:rPr>
                <w:rFonts w:ascii="Calibri" w:eastAsia="Calibri" w:hAnsi="Calibri" w:cs="Calibri"/>
                <w:color w:val="000000"/>
              </w:rPr>
              <w:t>Apply resulting savings in resources (</w:t>
            </w:r>
            <w:r w:rsidRPr="00DD0F7D">
              <w:rPr>
                <w:rFonts w:ascii="Calibri" w:eastAsia="Calibri" w:hAnsi="Calibri" w:cs="Calibri"/>
                <w:color w:val="000000"/>
              </w:rPr>
              <w:t>time and budget</w:t>
            </w:r>
            <w:r w:rsidR="006963A6">
              <w:rPr>
                <w:rFonts w:ascii="Calibri" w:eastAsia="Calibri" w:hAnsi="Calibri" w:cs="Calibri"/>
                <w:color w:val="000000"/>
              </w:rPr>
              <w:t xml:space="preserve">) </w:t>
            </w:r>
            <w:r w:rsidRPr="00DD0F7D">
              <w:rPr>
                <w:rFonts w:ascii="Calibri" w:eastAsia="Calibri" w:hAnsi="Calibri" w:cs="Calibri"/>
                <w:color w:val="000000"/>
              </w:rPr>
              <w:t>to Level 3 efforts for</w:t>
            </w:r>
            <w:r w:rsidR="006963A6">
              <w:rPr>
                <w:rFonts w:ascii="Calibri" w:eastAsia="Calibri" w:hAnsi="Calibri" w:cs="Calibri"/>
                <w:color w:val="000000"/>
              </w:rPr>
              <w:t xml:space="preserve"> delivering</w:t>
            </w:r>
            <w:r w:rsidRPr="00DD0F7D">
              <w:rPr>
                <w:rFonts w:ascii="Calibri" w:eastAsia="Calibri" w:hAnsi="Calibri" w:cs="Calibri"/>
                <w:color w:val="000000"/>
              </w:rPr>
              <w:t xml:space="preserve"> more strategic</w:t>
            </w:r>
            <w:r w:rsidR="006963A6">
              <w:rPr>
                <w:rFonts w:ascii="Calibri" w:eastAsia="Calibri" w:hAnsi="Calibri" w:cs="Calibri"/>
                <w:color w:val="000000"/>
              </w:rPr>
              <w:t xml:space="preserve"> and impactful</w:t>
            </w:r>
            <w:r w:rsidRPr="00DD0F7D">
              <w:rPr>
                <w:rFonts w:ascii="Calibri" w:eastAsia="Calibri" w:hAnsi="Calibri" w:cs="Calibri"/>
                <w:color w:val="000000"/>
              </w:rPr>
              <w:t xml:space="preserve"> programs</w:t>
            </w:r>
            <w:r w:rsidR="006963A6">
              <w:rPr>
                <w:rFonts w:ascii="Calibri" w:eastAsia="Calibri" w:hAnsi="Calibri" w:cs="Calibri"/>
                <w:color w:val="000000"/>
              </w:rPr>
              <w:t>.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:rsidR="009F0BCB" w:rsidRPr="009F0BCB" w:rsidRDefault="009F0BCB" w:rsidP="006963A6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9F0BCB" w:rsidRPr="009F0BCB" w:rsidTr="00BD5766">
        <w:tc>
          <w:tcPr>
            <w:tcW w:w="157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“We do not have clear enough direction from senior leaders to ‘start with the end in mind’”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18" w:type="dxa"/>
          </w:tcPr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>Deliver</w:t>
            </w:r>
            <w:r w:rsidR="007E21E7">
              <w:rPr>
                <w:rFonts w:ascii="Calibri" w:eastAsia="Calibri" w:hAnsi="Calibri" w:cs="Calibri"/>
                <w:color w:val="000000"/>
              </w:rPr>
              <w:t>y of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training or any type of intervention without knowing the </w:t>
            </w:r>
            <w:r w:rsidR="007E21E7">
              <w:rPr>
                <w:rFonts w:ascii="Calibri" w:eastAsia="Calibri" w:hAnsi="Calibri" w:cs="Calibri"/>
                <w:color w:val="000000"/>
              </w:rPr>
              <w:t>“</w:t>
            </w:r>
            <w:r w:rsidRPr="009F0BCB">
              <w:rPr>
                <w:rFonts w:ascii="Calibri" w:eastAsia="Calibri" w:hAnsi="Calibri" w:cs="Calibri"/>
                <w:color w:val="000000"/>
              </w:rPr>
              <w:t>destination</w:t>
            </w:r>
            <w:r w:rsidR="006E1661">
              <w:rPr>
                <w:rFonts w:ascii="Calibri" w:eastAsia="Calibri" w:hAnsi="Calibri" w:cs="Calibri"/>
                <w:color w:val="000000"/>
              </w:rPr>
              <w:t>”</w:t>
            </w:r>
            <w:r w:rsidR="006E1661" w:rsidRPr="009F0BCB">
              <w:rPr>
                <w:rFonts w:ascii="Calibri" w:eastAsia="Calibri" w:hAnsi="Calibri" w:cs="Calibri"/>
                <w:color w:val="000000"/>
              </w:rPr>
              <w:t xml:space="preserve"> will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="007E21E7">
              <w:rPr>
                <w:rFonts w:ascii="Calibri" w:eastAsia="Calibri" w:hAnsi="Calibri" w:cs="Calibri"/>
                <w:color w:val="000000"/>
              </w:rPr>
              <w:t>often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lead to wasted resources</w:t>
            </w:r>
            <w:r w:rsidR="007E21E7">
              <w:rPr>
                <w:rFonts w:ascii="Calibri" w:eastAsia="Calibri" w:hAnsi="Calibri" w:cs="Calibri"/>
                <w:color w:val="000000"/>
              </w:rPr>
              <w:t>,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minimal mission accomplishment, and inadequate leadership commitment. </w:t>
            </w:r>
            <w:r w:rsidR="007E21E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This message needs to be brought boldly to senior leaders, and collaborative sessions arranged to identify specific, measurable Level 4 Results that will accurately reflect mission accomplishment and be realistic to accomplish.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0BCB" w:rsidRPr="009F0BCB" w:rsidTr="00BD5766">
        <w:tc>
          <w:tcPr>
            <w:tcW w:w="157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“Our leaders are only asking for training. They are not interested in the other aspects of the model.”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18" w:type="dxa"/>
          </w:tcPr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Move from being a training provider to a strategic business partner. Educate your leaders as to the inefficiency and ineffectiveness of training events alone: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• Show them relevant research and best practices.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• Convince them of a better way, typically through a successful business partnership pilot program within your agency.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• </w:t>
            </w:r>
            <w:r w:rsidR="00B01486">
              <w:rPr>
                <w:rFonts w:ascii="Calibri" w:eastAsia="Calibri" w:hAnsi="Calibri" w:cs="Calibri"/>
                <w:color w:val="000000"/>
              </w:rPr>
              <w:t>Articulate specifically how you can enable your leaders to achieve strategic outcomes through a more substantive training program; e</w:t>
            </w:r>
            <w:r w:rsidRPr="009F0BCB">
              <w:rPr>
                <w:rFonts w:ascii="Calibri" w:eastAsia="Calibri" w:hAnsi="Calibri" w:cs="Calibri"/>
                <w:color w:val="000000"/>
              </w:rPr>
              <w:t>xplicitly state what participants will learn and how it will benefit the agency.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9F0BCB" w:rsidRPr="009F0BCB" w:rsidTr="00BD5766">
        <w:tc>
          <w:tcPr>
            <w:tcW w:w="1575" w:type="dxa"/>
            <w:vMerge/>
            <w:shd w:val="clear" w:color="auto" w:fill="auto"/>
          </w:tcPr>
          <w:p w:rsidR="009F0BCB" w:rsidRPr="009F0BCB" w:rsidRDefault="009F0BCB" w:rsidP="009F0BCB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135" w:type="dxa"/>
            <w:shd w:val="clear" w:color="auto" w:fill="auto"/>
          </w:tcPr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“We do not have enough staff to go beyond Level 2.”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12118" w:type="dxa"/>
          </w:tcPr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>Make Level 1 and 2 evaluations as efficient as possible to save resources for</w:t>
            </w:r>
            <w:r w:rsidR="00B01486">
              <w:rPr>
                <w:rFonts w:ascii="Calibri" w:eastAsia="Calibri" w:hAnsi="Calibri" w:cs="Calibri"/>
                <w:color w:val="000000"/>
              </w:rPr>
              <w:t xml:space="preserve"> the higher-impact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Levels 3 and 4.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• </w:t>
            </w:r>
            <w:r w:rsidR="00B01486">
              <w:rPr>
                <w:rFonts w:ascii="Calibri" w:eastAsia="Calibri" w:hAnsi="Calibri" w:cs="Calibri"/>
                <w:color w:val="000000"/>
              </w:rPr>
              <w:t>For Level 1, use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short, learner-centered reaction sheets.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>• For Level 2, use retrospective pre- and post-assessments instead of full pre</w:t>
            </w:r>
            <w:r w:rsidR="00B01486">
              <w:rPr>
                <w:rFonts w:ascii="Calibri" w:eastAsia="Calibri" w:hAnsi="Calibri" w:cs="Calibri"/>
                <w:color w:val="000000"/>
              </w:rPr>
              <w:t>-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 and post</w:t>
            </w:r>
            <w:r w:rsidR="00B01486">
              <w:rPr>
                <w:rFonts w:ascii="Calibri" w:eastAsia="Calibri" w:hAnsi="Calibri" w:cs="Calibri"/>
                <w:color w:val="000000"/>
              </w:rPr>
              <w:t>-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tests.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 w:rsidRPr="009F0BCB">
              <w:rPr>
                <w:rFonts w:ascii="Calibri" w:eastAsia="Calibri" w:hAnsi="Calibri" w:cs="Calibri"/>
                <w:color w:val="000000"/>
              </w:rPr>
              <w:t xml:space="preserve">• Conduct Level 3 and Level 4 surveys and focus groups </w:t>
            </w:r>
            <w:r w:rsidR="00B01486">
              <w:rPr>
                <w:rFonts w:ascii="Calibri" w:eastAsia="Calibri" w:hAnsi="Calibri" w:cs="Calibri"/>
                <w:color w:val="000000"/>
              </w:rPr>
              <w:t xml:space="preserve">only </w:t>
            </w:r>
            <w:r w:rsidRPr="009F0BCB">
              <w:rPr>
                <w:rFonts w:ascii="Calibri" w:eastAsia="Calibri" w:hAnsi="Calibri" w:cs="Calibri"/>
                <w:color w:val="000000"/>
              </w:rPr>
              <w:t>for mission</w:t>
            </w:r>
            <w:r w:rsidR="00B01486">
              <w:rPr>
                <w:rFonts w:ascii="Calibri" w:eastAsia="Calibri" w:hAnsi="Calibri" w:cs="Calibri"/>
                <w:color w:val="000000"/>
              </w:rPr>
              <w:t>-</w:t>
            </w:r>
            <w:r w:rsidRPr="009F0BCB">
              <w:rPr>
                <w:rFonts w:ascii="Calibri" w:eastAsia="Calibri" w:hAnsi="Calibri" w:cs="Calibri"/>
                <w:color w:val="000000"/>
              </w:rPr>
              <w:t xml:space="preserve">critical programs. </w:t>
            </w:r>
          </w:p>
          <w:p w:rsidR="009F0BCB" w:rsidRPr="009F0BCB" w:rsidRDefault="009F0BCB" w:rsidP="009F0BC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:rsidR="009F0BCB" w:rsidRPr="009F0BCB" w:rsidRDefault="009F0BCB" w:rsidP="009F0BCB">
      <w:pPr>
        <w:rPr>
          <w:rFonts w:ascii="Calibri" w:eastAsia="Times New Roman" w:hAnsi="Calibri" w:cs="Calibri"/>
          <w:sz w:val="21"/>
          <w:szCs w:val="21"/>
        </w:rPr>
      </w:pPr>
    </w:p>
    <w:p w:rsidR="000B35BB" w:rsidRPr="00502CF5" w:rsidRDefault="009F0BCB" w:rsidP="00502CF5">
      <w:pPr>
        <w:rPr>
          <w:rFonts w:ascii="Calibri" w:eastAsia="Times New Roman" w:hAnsi="Calibri" w:cs="Calibri"/>
          <w:sz w:val="21"/>
          <w:szCs w:val="21"/>
        </w:rPr>
        <w:sectPr w:rsidR="000B35BB" w:rsidRPr="00502CF5" w:rsidSect="000B35BB">
          <w:footerReference w:type="default" r:id="rId9"/>
          <w:pgSz w:w="20160" w:h="12240" w:orient="landscape" w:code="5"/>
          <w:pgMar w:top="288" w:right="720" w:bottom="288" w:left="720" w:header="720" w:footer="720" w:gutter="0"/>
          <w:cols w:space="720"/>
          <w:docGrid w:linePitch="360"/>
        </w:sectPr>
      </w:pPr>
      <w:r w:rsidRPr="009F0BCB">
        <w:rPr>
          <w:rFonts w:ascii="Calibri" w:eastAsia="Times New Roman" w:hAnsi="Calibri" w:cs="Calibri"/>
          <w:sz w:val="21"/>
          <w:szCs w:val="21"/>
        </w:rPr>
        <w:br w:type="page"/>
      </w:r>
    </w:p>
    <w:p w:rsidR="00FD3FFF" w:rsidRPr="00FD3FFF" w:rsidRDefault="00FD3FFF" w:rsidP="00A75F38">
      <w:pPr>
        <w:spacing w:after="0" w:line="240" w:lineRule="auto"/>
        <w:rPr>
          <w:rFonts w:ascii="Cambria" w:eastAsia="Calibri" w:hAnsi="Cambria" w:cs="Times New Roman"/>
          <w:szCs w:val="15"/>
          <w:lang w:bidi="en-US"/>
        </w:rPr>
      </w:pPr>
    </w:p>
    <w:sectPr w:rsidR="00FD3FFF" w:rsidRPr="00FD3FFF" w:rsidSect="00596192">
      <w:pgSz w:w="12240" w:h="15840"/>
      <w:pgMar w:top="1440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BB1" w:rsidRDefault="00D03BB1" w:rsidP="00FD3FFF">
      <w:pPr>
        <w:spacing w:after="0" w:line="240" w:lineRule="auto"/>
      </w:pPr>
      <w:r>
        <w:separator/>
      </w:r>
    </w:p>
  </w:endnote>
  <w:endnote w:type="continuationSeparator" w:id="0">
    <w:p w:rsidR="00D03BB1" w:rsidRDefault="00D03BB1" w:rsidP="00F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97374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2A11" w:rsidRDefault="000D2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7F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D2A11" w:rsidRDefault="000D2A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BB1" w:rsidRDefault="00D03BB1" w:rsidP="00FD3FFF">
      <w:pPr>
        <w:spacing w:after="0" w:line="240" w:lineRule="auto"/>
      </w:pPr>
      <w:r>
        <w:separator/>
      </w:r>
    </w:p>
  </w:footnote>
  <w:footnote w:type="continuationSeparator" w:id="0">
    <w:p w:rsidR="00D03BB1" w:rsidRDefault="00D03BB1" w:rsidP="00FD3F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0A37"/>
    <w:multiLevelType w:val="hybridMultilevel"/>
    <w:tmpl w:val="22DE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7760"/>
    <w:multiLevelType w:val="hybridMultilevel"/>
    <w:tmpl w:val="F6DCF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92148"/>
    <w:multiLevelType w:val="hybridMultilevel"/>
    <w:tmpl w:val="06EAB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3E1A6B"/>
    <w:multiLevelType w:val="hybridMultilevel"/>
    <w:tmpl w:val="3E06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51028F"/>
    <w:multiLevelType w:val="hybridMultilevel"/>
    <w:tmpl w:val="35960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A55E9"/>
    <w:multiLevelType w:val="hybridMultilevel"/>
    <w:tmpl w:val="11880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A1467"/>
    <w:multiLevelType w:val="hybridMultilevel"/>
    <w:tmpl w:val="EF42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904C09"/>
    <w:multiLevelType w:val="hybridMultilevel"/>
    <w:tmpl w:val="118C8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8C7070"/>
    <w:multiLevelType w:val="hybridMultilevel"/>
    <w:tmpl w:val="6CB85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A5F68"/>
    <w:multiLevelType w:val="hybridMultilevel"/>
    <w:tmpl w:val="B3AEB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E6246AC"/>
    <w:multiLevelType w:val="hybridMultilevel"/>
    <w:tmpl w:val="D92AD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A4A52"/>
    <w:multiLevelType w:val="hybridMultilevel"/>
    <w:tmpl w:val="C5D27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1C1555"/>
    <w:multiLevelType w:val="hybridMultilevel"/>
    <w:tmpl w:val="1DFEE0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31619D"/>
    <w:multiLevelType w:val="hybridMultilevel"/>
    <w:tmpl w:val="3A7C0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C47F4C"/>
    <w:multiLevelType w:val="hybridMultilevel"/>
    <w:tmpl w:val="45B82E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800B26"/>
    <w:multiLevelType w:val="hybridMultilevel"/>
    <w:tmpl w:val="BE869C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591781"/>
    <w:multiLevelType w:val="hybridMultilevel"/>
    <w:tmpl w:val="B5840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092622"/>
    <w:multiLevelType w:val="hybridMultilevel"/>
    <w:tmpl w:val="27762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EC27C16"/>
    <w:multiLevelType w:val="hybridMultilevel"/>
    <w:tmpl w:val="6CDA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823249"/>
    <w:multiLevelType w:val="hybridMultilevel"/>
    <w:tmpl w:val="91169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8C2E2D"/>
    <w:multiLevelType w:val="hybridMultilevel"/>
    <w:tmpl w:val="5B1EF9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0BF43B8"/>
    <w:multiLevelType w:val="hybridMultilevel"/>
    <w:tmpl w:val="0CF8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F6546E"/>
    <w:multiLevelType w:val="hybridMultilevel"/>
    <w:tmpl w:val="8342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8C709E"/>
    <w:multiLevelType w:val="hybridMultilevel"/>
    <w:tmpl w:val="51B4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753FE3"/>
    <w:multiLevelType w:val="hybridMultilevel"/>
    <w:tmpl w:val="49FA4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0A0BEB"/>
    <w:multiLevelType w:val="hybridMultilevel"/>
    <w:tmpl w:val="CDFC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034F2D"/>
    <w:multiLevelType w:val="hybridMultilevel"/>
    <w:tmpl w:val="900E1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12076F"/>
    <w:multiLevelType w:val="hybridMultilevel"/>
    <w:tmpl w:val="B5DE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CC58DE"/>
    <w:multiLevelType w:val="hybridMultilevel"/>
    <w:tmpl w:val="61DC90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523809"/>
    <w:multiLevelType w:val="hybridMultilevel"/>
    <w:tmpl w:val="DDEE75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DD941B3"/>
    <w:multiLevelType w:val="hybridMultilevel"/>
    <w:tmpl w:val="5F3E23BE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1">
    <w:nsid w:val="502A207B"/>
    <w:multiLevelType w:val="hybridMultilevel"/>
    <w:tmpl w:val="9836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355EE6"/>
    <w:multiLevelType w:val="hybridMultilevel"/>
    <w:tmpl w:val="CAB63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943EAF"/>
    <w:multiLevelType w:val="hybridMultilevel"/>
    <w:tmpl w:val="F89E8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D96CD9"/>
    <w:multiLevelType w:val="hybridMultilevel"/>
    <w:tmpl w:val="4D540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143275"/>
    <w:multiLevelType w:val="hybridMultilevel"/>
    <w:tmpl w:val="C59A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0625B2"/>
    <w:multiLevelType w:val="hybridMultilevel"/>
    <w:tmpl w:val="995CF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852CE8"/>
    <w:multiLevelType w:val="hybridMultilevel"/>
    <w:tmpl w:val="AD762ACC"/>
    <w:lvl w:ilvl="0" w:tplc="5956C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DE19E6"/>
    <w:multiLevelType w:val="hybridMultilevel"/>
    <w:tmpl w:val="943C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B45860"/>
    <w:multiLevelType w:val="hybridMultilevel"/>
    <w:tmpl w:val="461E4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96302B"/>
    <w:multiLevelType w:val="hybridMultilevel"/>
    <w:tmpl w:val="18909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1069E5"/>
    <w:multiLevelType w:val="hybridMultilevel"/>
    <w:tmpl w:val="0EA6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D01192"/>
    <w:multiLevelType w:val="hybridMultilevel"/>
    <w:tmpl w:val="8520C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E94089"/>
    <w:multiLevelType w:val="hybridMultilevel"/>
    <w:tmpl w:val="04F0C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5D7F70"/>
    <w:multiLevelType w:val="hybridMultilevel"/>
    <w:tmpl w:val="1AAA64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29B63EA"/>
    <w:multiLevelType w:val="hybridMultilevel"/>
    <w:tmpl w:val="A68E0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5B74DE"/>
    <w:multiLevelType w:val="hybridMultilevel"/>
    <w:tmpl w:val="7A743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77C199F"/>
    <w:multiLevelType w:val="hybridMultilevel"/>
    <w:tmpl w:val="3766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3B4562"/>
    <w:multiLevelType w:val="hybridMultilevel"/>
    <w:tmpl w:val="1004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E612D3C"/>
    <w:multiLevelType w:val="hybridMultilevel"/>
    <w:tmpl w:val="1CDEB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15"/>
  </w:num>
  <w:num w:numId="4">
    <w:abstractNumId w:val="29"/>
  </w:num>
  <w:num w:numId="5">
    <w:abstractNumId w:val="44"/>
  </w:num>
  <w:num w:numId="6">
    <w:abstractNumId w:val="21"/>
  </w:num>
  <w:num w:numId="7">
    <w:abstractNumId w:val="27"/>
  </w:num>
  <w:num w:numId="8">
    <w:abstractNumId w:val="43"/>
  </w:num>
  <w:num w:numId="9">
    <w:abstractNumId w:val="33"/>
  </w:num>
  <w:num w:numId="10">
    <w:abstractNumId w:val="4"/>
  </w:num>
  <w:num w:numId="11">
    <w:abstractNumId w:val="8"/>
  </w:num>
  <w:num w:numId="12">
    <w:abstractNumId w:val="47"/>
  </w:num>
  <w:num w:numId="13">
    <w:abstractNumId w:val="45"/>
  </w:num>
  <w:num w:numId="14">
    <w:abstractNumId w:val="18"/>
  </w:num>
  <w:num w:numId="15">
    <w:abstractNumId w:val="22"/>
  </w:num>
  <w:num w:numId="16">
    <w:abstractNumId w:val="31"/>
  </w:num>
  <w:num w:numId="17">
    <w:abstractNumId w:val="20"/>
  </w:num>
  <w:num w:numId="18">
    <w:abstractNumId w:val="12"/>
  </w:num>
  <w:num w:numId="19">
    <w:abstractNumId w:val="28"/>
  </w:num>
  <w:num w:numId="20">
    <w:abstractNumId w:val="7"/>
  </w:num>
  <w:num w:numId="21">
    <w:abstractNumId w:val="13"/>
  </w:num>
  <w:num w:numId="22">
    <w:abstractNumId w:val="16"/>
  </w:num>
  <w:num w:numId="23">
    <w:abstractNumId w:val="5"/>
  </w:num>
  <w:num w:numId="24">
    <w:abstractNumId w:val="38"/>
  </w:num>
  <w:num w:numId="25">
    <w:abstractNumId w:val="32"/>
  </w:num>
  <w:num w:numId="26">
    <w:abstractNumId w:val="46"/>
  </w:num>
  <w:num w:numId="27">
    <w:abstractNumId w:val="40"/>
  </w:num>
  <w:num w:numId="28">
    <w:abstractNumId w:val="35"/>
  </w:num>
  <w:num w:numId="29">
    <w:abstractNumId w:val="49"/>
  </w:num>
  <w:num w:numId="30">
    <w:abstractNumId w:val="11"/>
  </w:num>
  <w:num w:numId="31">
    <w:abstractNumId w:val="24"/>
  </w:num>
  <w:num w:numId="32">
    <w:abstractNumId w:val="23"/>
  </w:num>
  <w:num w:numId="33">
    <w:abstractNumId w:val="10"/>
  </w:num>
  <w:num w:numId="34">
    <w:abstractNumId w:val="25"/>
  </w:num>
  <w:num w:numId="35">
    <w:abstractNumId w:val="36"/>
  </w:num>
  <w:num w:numId="36">
    <w:abstractNumId w:val="42"/>
  </w:num>
  <w:num w:numId="37">
    <w:abstractNumId w:val="3"/>
  </w:num>
  <w:num w:numId="38">
    <w:abstractNumId w:val="34"/>
  </w:num>
  <w:num w:numId="39">
    <w:abstractNumId w:val="14"/>
  </w:num>
  <w:num w:numId="40">
    <w:abstractNumId w:val="37"/>
  </w:num>
  <w:num w:numId="41">
    <w:abstractNumId w:val="17"/>
  </w:num>
  <w:num w:numId="42">
    <w:abstractNumId w:val="2"/>
  </w:num>
  <w:num w:numId="43">
    <w:abstractNumId w:val="39"/>
  </w:num>
  <w:num w:numId="44">
    <w:abstractNumId w:val="26"/>
  </w:num>
  <w:num w:numId="45">
    <w:abstractNumId w:val="0"/>
  </w:num>
  <w:num w:numId="46">
    <w:abstractNumId w:val="41"/>
  </w:num>
  <w:num w:numId="47">
    <w:abstractNumId w:val="1"/>
  </w:num>
  <w:num w:numId="48">
    <w:abstractNumId w:val="6"/>
  </w:num>
  <w:num w:numId="49">
    <w:abstractNumId w:val="48"/>
  </w:num>
  <w:num w:numId="50">
    <w:abstractNumId w:val="1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FFF"/>
    <w:rsid w:val="0000383C"/>
    <w:rsid w:val="00004D89"/>
    <w:rsid w:val="000111F5"/>
    <w:rsid w:val="00020FEB"/>
    <w:rsid w:val="00023A4D"/>
    <w:rsid w:val="00041D74"/>
    <w:rsid w:val="000468CE"/>
    <w:rsid w:val="00051074"/>
    <w:rsid w:val="000720BB"/>
    <w:rsid w:val="00074E23"/>
    <w:rsid w:val="000A4AE5"/>
    <w:rsid w:val="000B35BB"/>
    <w:rsid w:val="000C6644"/>
    <w:rsid w:val="000D2A11"/>
    <w:rsid w:val="000D2D69"/>
    <w:rsid w:val="000D46BF"/>
    <w:rsid w:val="001324C7"/>
    <w:rsid w:val="00145182"/>
    <w:rsid w:val="00175F72"/>
    <w:rsid w:val="00187A08"/>
    <w:rsid w:val="00191805"/>
    <w:rsid w:val="001A4F4C"/>
    <w:rsid w:val="001D4C6C"/>
    <w:rsid w:val="00200CBD"/>
    <w:rsid w:val="00241AB5"/>
    <w:rsid w:val="002B5B7A"/>
    <w:rsid w:val="002B6F13"/>
    <w:rsid w:val="002C2FFE"/>
    <w:rsid w:val="002F21AF"/>
    <w:rsid w:val="002F3B48"/>
    <w:rsid w:val="002F58BE"/>
    <w:rsid w:val="00300071"/>
    <w:rsid w:val="00307C58"/>
    <w:rsid w:val="003264D8"/>
    <w:rsid w:val="00336837"/>
    <w:rsid w:val="00341E7C"/>
    <w:rsid w:val="00350643"/>
    <w:rsid w:val="003540AE"/>
    <w:rsid w:val="00354520"/>
    <w:rsid w:val="00377128"/>
    <w:rsid w:val="003A30F3"/>
    <w:rsid w:val="003B1F17"/>
    <w:rsid w:val="003F3C53"/>
    <w:rsid w:val="003F7339"/>
    <w:rsid w:val="0040048B"/>
    <w:rsid w:val="004201E0"/>
    <w:rsid w:val="004243F2"/>
    <w:rsid w:val="00432F47"/>
    <w:rsid w:val="00452A0D"/>
    <w:rsid w:val="0046423A"/>
    <w:rsid w:val="00476DED"/>
    <w:rsid w:val="00482B49"/>
    <w:rsid w:val="004914F8"/>
    <w:rsid w:val="004A1231"/>
    <w:rsid w:val="004D5734"/>
    <w:rsid w:val="004E4BF3"/>
    <w:rsid w:val="004F22E5"/>
    <w:rsid w:val="00500715"/>
    <w:rsid w:val="0050293B"/>
    <w:rsid w:val="00502CF5"/>
    <w:rsid w:val="005031F5"/>
    <w:rsid w:val="0051437C"/>
    <w:rsid w:val="005244A4"/>
    <w:rsid w:val="00525BBA"/>
    <w:rsid w:val="00550844"/>
    <w:rsid w:val="00550A50"/>
    <w:rsid w:val="00554497"/>
    <w:rsid w:val="00561A6A"/>
    <w:rsid w:val="00562927"/>
    <w:rsid w:val="00575252"/>
    <w:rsid w:val="005821C1"/>
    <w:rsid w:val="00590C69"/>
    <w:rsid w:val="00595620"/>
    <w:rsid w:val="00596192"/>
    <w:rsid w:val="005B064B"/>
    <w:rsid w:val="005C3D40"/>
    <w:rsid w:val="005C7CE9"/>
    <w:rsid w:val="005D3FC5"/>
    <w:rsid w:val="005E509D"/>
    <w:rsid w:val="00600452"/>
    <w:rsid w:val="00602A65"/>
    <w:rsid w:val="00622B08"/>
    <w:rsid w:val="006241A5"/>
    <w:rsid w:val="00637EA7"/>
    <w:rsid w:val="00647D40"/>
    <w:rsid w:val="0066704C"/>
    <w:rsid w:val="006855AC"/>
    <w:rsid w:val="00687BD5"/>
    <w:rsid w:val="006963A6"/>
    <w:rsid w:val="006A09B7"/>
    <w:rsid w:val="006B27E2"/>
    <w:rsid w:val="006E1661"/>
    <w:rsid w:val="006E6CF6"/>
    <w:rsid w:val="00711859"/>
    <w:rsid w:val="00720F2B"/>
    <w:rsid w:val="00735093"/>
    <w:rsid w:val="00740E6C"/>
    <w:rsid w:val="007471E0"/>
    <w:rsid w:val="007541F5"/>
    <w:rsid w:val="00772EC2"/>
    <w:rsid w:val="0079481B"/>
    <w:rsid w:val="007C2831"/>
    <w:rsid w:val="007E21E7"/>
    <w:rsid w:val="00811C0C"/>
    <w:rsid w:val="00827D8C"/>
    <w:rsid w:val="008365CB"/>
    <w:rsid w:val="00852F87"/>
    <w:rsid w:val="0087282B"/>
    <w:rsid w:val="00874EB2"/>
    <w:rsid w:val="008A30DC"/>
    <w:rsid w:val="008C51B5"/>
    <w:rsid w:val="008C5536"/>
    <w:rsid w:val="008C5DD7"/>
    <w:rsid w:val="008D0486"/>
    <w:rsid w:val="008D2708"/>
    <w:rsid w:val="008D68B9"/>
    <w:rsid w:val="008F19BC"/>
    <w:rsid w:val="009169A4"/>
    <w:rsid w:val="009304B1"/>
    <w:rsid w:val="0093746E"/>
    <w:rsid w:val="00963398"/>
    <w:rsid w:val="0098480B"/>
    <w:rsid w:val="00994825"/>
    <w:rsid w:val="0099515E"/>
    <w:rsid w:val="009A0335"/>
    <w:rsid w:val="009C674D"/>
    <w:rsid w:val="009E7B6E"/>
    <w:rsid w:val="009F0BCB"/>
    <w:rsid w:val="00A15474"/>
    <w:rsid w:val="00A203E4"/>
    <w:rsid w:val="00A228F0"/>
    <w:rsid w:val="00A528B4"/>
    <w:rsid w:val="00A75F38"/>
    <w:rsid w:val="00A76502"/>
    <w:rsid w:val="00AA26B5"/>
    <w:rsid w:val="00AA3EBE"/>
    <w:rsid w:val="00AB5D2A"/>
    <w:rsid w:val="00AE51D9"/>
    <w:rsid w:val="00AF361B"/>
    <w:rsid w:val="00B01486"/>
    <w:rsid w:val="00B61720"/>
    <w:rsid w:val="00B7220F"/>
    <w:rsid w:val="00B94B8A"/>
    <w:rsid w:val="00BB06A4"/>
    <w:rsid w:val="00BB6F52"/>
    <w:rsid w:val="00BD309A"/>
    <w:rsid w:val="00BD5332"/>
    <w:rsid w:val="00BD5766"/>
    <w:rsid w:val="00BE4222"/>
    <w:rsid w:val="00C00F83"/>
    <w:rsid w:val="00C1742D"/>
    <w:rsid w:val="00C4190A"/>
    <w:rsid w:val="00C4370D"/>
    <w:rsid w:val="00C446CA"/>
    <w:rsid w:val="00C57F0A"/>
    <w:rsid w:val="00C63540"/>
    <w:rsid w:val="00C8527F"/>
    <w:rsid w:val="00C87916"/>
    <w:rsid w:val="00C939D1"/>
    <w:rsid w:val="00CB2DE7"/>
    <w:rsid w:val="00CB5EC7"/>
    <w:rsid w:val="00CB61A3"/>
    <w:rsid w:val="00CC6D78"/>
    <w:rsid w:val="00CD1A27"/>
    <w:rsid w:val="00CD6CF6"/>
    <w:rsid w:val="00CF0A8F"/>
    <w:rsid w:val="00CF74CA"/>
    <w:rsid w:val="00CF7BD7"/>
    <w:rsid w:val="00D03BB1"/>
    <w:rsid w:val="00D11EC4"/>
    <w:rsid w:val="00D427CE"/>
    <w:rsid w:val="00D46818"/>
    <w:rsid w:val="00D52078"/>
    <w:rsid w:val="00D65D1E"/>
    <w:rsid w:val="00D8750F"/>
    <w:rsid w:val="00D926C3"/>
    <w:rsid w:val="00DC1CA0"/>
    <w:rsid w:val="00DC2C62"/>
    <w:rsid w:val="00DD0F7D"/>
    <w:rsid w:val="00E16C7F"/>
    <w:rsid w:val="00E23692"/>
    <w:rsid w:val="00E30885"/>
    <w:rsid w:val="00E34EF8"/>
    <w:rsid w:val="00E531F3"/>
    <w:rsid w:val="00E54539"/>
    <w:rsid w:val="00E60F54"/>
    <w:rsid w:val="00E6408F"/>
    <w:rsid w:val="00E82052"/>
    <w:rsid w:val="00EA1CEC"/>
    <w:rsid w:val="00EC04AB"/>
    <w:rsid w:val="00EE2A55"/>
    <w:rsid w:val="00EE6678"/>
    <w:rsid w:val="00EF232F"/>
    <w:rsid w:val="00F20DFF"/>
    <w:rsid w:val="00F419AD"/>
    <w:rsid w:val="00F61986"/>
    <w:rsid w:val="00F61AF9"/>
    <w:rsid w:val="00F96D35"/>
    <w:rsid w:val="00FD3FFF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3FF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D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F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D3F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48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4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22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E4222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BE4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BE422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E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222"/>
  </w:style>
  <w:style w:type="paragraph" w:styleId="Footer">
    <w:name w:val="footer"/>
    <w:basedOn w:val="Normal"/>
    <w:link w:val="FooterChar"/>
    <w:uiPriority w:val="99"/>
    <w:unhideWhenUsed/>
    <w:rsid w:val="00BE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222"/>
  </w:style>
  <w:style w:type="character" w:customStyle="1" w:styleId="Heading2Char">
    <w:name w:val="Heading 2 Char"/>
    <w:basedOn w:val="DefaultParagraphFont"/>
    <w:link w:val="Heading2"/>
    <w:uiPriority w:val="9"/>
    <w:rsid w:val="00BE4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E4222"/>
    <w:pPr>
      <w:spacing w:after="100"/>
      <w:ind w:left="220"/>
    </w:pPr>
  </w:style>
  <w:style w:type="paragraph" w:styleId="ListParagraph">
    <w:name w:val="List Paragraph"/>
    <w:aliases w:val="Program Bullets,List Program Descriptions"/>
    <w:basedOn w:val="Normal"/>
    <w:link w:val="ListParagraphChar"/>
    <w:uiPriority w:val="34"/>
    <w:qFormat/>
    <w:rsid w:val="005C7C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5D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Program Bullets Char,List Program Descriptions Char"/>
    <w:link w:val="ListParagraph"/>
    <w:uiPriority w:val="34"/>
    <w:rsid w:val="00AB5D2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F36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42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42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D3FFF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D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D3F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D3F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3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FF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D04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4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4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4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48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E42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E4222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E4222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BE4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E4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BE4222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E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222"/>
  </w:style>
  <w:style w:type="paragraph" w:styleId="Footer">
    <w:name w:val="footer"/>
    <w:basedOn w:val="Normal"/>
    <w:link w:val="FooterChar"/>
    <w:uiPriority w:val="99"/>
    <w:unhideWhenUsed/>
    <w:rsid w:val="00BE42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222"/>
  </w:style>
  <w:style w:type="character" w:customStyle="1" w:styleId="Heading2Char">
    <w:name w:val="Heading 2 Char"/>
    <w:basedOn w:val="DefaultParagraphFont"/>
    <w:link w:val="Heading2"/>
    <w:uiPriority w:val="9"/>
    <w:rsid w:val="00BE4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E4222"/>
    <w:pPr>
      <w:spacing w:after="100"/>
      <w:ind w:left="220"/>
    </w:pPr>
  </w:style>
  <w:style w:type="paragraph" w:styleId="ListParagraph">
    <w:name w:val="List Paragraph"/>
    <w:aliases w:val="Program Bullets,List Program Descriptions"/>
    <w:basedOn w:val="Normal"/>
    <w:link w:val="ListParagraphChar"/>
    <w:uiPriority w:val="34"/>
    <w:qFormat/>
    <w:rsid w:val="005C7CE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B5D2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Program Bullets Char,List Program Descriptions Char"/>
    <w:link w:val="ListParagraph"/>
    <w:uiPriority w:val="34"/>
    <w:rsid w:val="00AB5D2A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F36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90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09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0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3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31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63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3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39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330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99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075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5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74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23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26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57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8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34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07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817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8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64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2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1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29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5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99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5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44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3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1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29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9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55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1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0C30B-9EE5-4FA1-91AC-7A355C6D5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1759</Words>
  <Characters>10029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11765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Cynthia L.</dc:creator>
  <cp:lastModifiedBy>Ndunguru, Cheryl</cp:lastModifiedBy>
  <cp:revision>2</cp:revision>
  <cp:lastPrinted>2014-06-19T18:56:00Z</cp:lastPrinted>
  <dcterms:created xsi:type="dcterms:W3CDTF">2014-09-15T17:03:00Z</dcterms:created>
  <dcterms:modified xsi:type="dcterms:W3CDTF">2014-09-15T17:03:00Z</dcterms:modified>
</cp:coreProperties>
</file>